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3403BC" w14:paraId="74CEDF43" w14:textId="77777777">
        <w:tc>
          <w:tcPr>
            <w:tcW w:w="4428" w:type="dxa"/>
          </w:tcPr>
          <w:p w14:paraId="359BE23C" w14:textId="77777777" w:rsidR="003403BC" w:rsidRDefault="00765BEA">
            <w:pPr>
              <w:widowControl w:val="0"/>
              <w:rPr>
                <w:rFonts w:asciiTheme="minorHAnsi" w:hAnsiTheme="minorHAnsi" w:cstheme="minorHAnsi"/>
                <w:lang w:eastAsia="ko-KR"/>
              </w:rPr>
            </w:pPr>
            <w:r>
              <w:rPr>
                <w:rFonts w:asciiTheme="minorHAnsi" w:hAnsiTheme="minorHAnsi" w:cstheme="minorHAnsi"/>
              </w:rPr>
              <w:t>From:</w:t>
            </w:r>
            <w:r>
              <w:rPr>
                <w:rFonts w:asciiTheme="minorHAnsi" w:hAnsiTheme="minorHAnsi" w:cstheme="minorHAnsi"/>
              </w:rPr>
              <w:tab/>
            </w:r>
            <w:r>
              <w:rPr>
                <w:rFonts w:asciiTheme="minorHAnsi" w:hAnsiTheme="minorHAnsi" w:cstheme="minorHAnsi"/>
                <w:lang w:eastAsia="ko-KR"/>
              </w:rPr>
              <w:t>DTEC</w:t>
            </w:r>
          </w:p>
        </w:tc>
        <w:tc>
          <w:tcPr>
            <w:tcW w:w="5461" w:type="dxa"/>
          </w:tcPr>
          <w:p w14:paraId="0A23B222" w14:textId="06E9D7DB" w:rsidR="008A0653" w:rsidRDefault="008A0653">
            <w:pPr>
              <w:widowControl w:val="0"/>
              <w:jc w:val="right"/>
              <w:rPr>
                <w:rFonts w:asciiTheme="minorHAnsi" w:hAnsiTheme="minorHAnsi" w:cstheme="minorHAnsi"/>
                <w:lang w:eastAsia="ko-KR"/>
              </w:rPr>
            </w:pPr>
            <w:r>
              <w:rPr>
                <w:rFonts w:asciiTheme="minorHAnsi" w:hAnsiTheme="minorHAnsi" w:cstheme="minorHAnsi"/>
                <w:lang w:eastAsia="ko-KR"/>
              </w:rPr>
              <w:t>VTS60-9.1.1</w:t>
            </w:r>
          </w:p>
          <w:p w14:paraId="3842D8B0" w14:textId="546A3943" w:rsidR="003403BC" w:rsidRDefault="008A0653">
            <w:pPr>
              <w:widowControl w:val="0"/>
              <w:jc w:val="right"/>
              <w:rPr>
                <w:rFonts w:asciiTheme="minorHAnsi" w:hAnsiTheme="minorHAnsi" w:cstheme="minorHAnsi"/>
                <w:lang w:eastAsia="ko-KR"/>
              </w:rPr>
            </w:pPr>
            <w:r>
              <w:rPr>
                <w:rFonts w:asciiTheme="minorHAnsi" w:hAnsiTheme="minorHAnsi" w:cstheme="minorHAnsi"/>
                <w:lang w:eastAsia="ko-KR"/>
              </w:rPr>
              <w:t>(</w:t>
            </w:r>
            <w:r w:rsidR="00765BEA">
              <w:rPr>
                <w:rFonts w:asciiTheme="minorHAnsi" w:hAnsiTheme="minorHAnsi" w:cstheme="minorHAnsi"/>
                <w:lang w:eastAsia="ko-KR"/>
              </w:rPr>
              <w:t>DTEC6</w:t>
            </w:r>
            <w:r w:rsidR="009567AD">
              <w:rPr>
                <w:rFonts w:asciiTheme="minorHAnsi" w:hAnsiTheme="minorHAnsi" w:cstheme="minorHAnsi"/>
                <w:lang w:eastAsia="ko-KR"/>
              </w:rPr>
              <w:t>-</w:t>
            </w:r>
            <w:r w:rsidR="001166EA">
              <w:rPr>
                <w:rFonts w:asciiTheme="minorHAnsi" w:hAnsiTheme="minorHAnsi" w:cstheme="minorHAnsi"/>
                <w:lang w:eastAsia="ko-KR"/>
              </w:rPr>
              <w:t>15.2.2</w:t>
            </w:r>
            <w:r>
              <w:rPr>
                <w:rFonts w:asciiTheme="minorHAnsi" w:hAnsiTheme="minorHAnsi" w:cstheme="minorHAnsi"/>
                <w:lang w:eastAsia="ko-KR"/>
              </w:rPr>
              <w:t>)</w:t>
            </w:r>
          </w:p>
          <w:p w14:paraId="777F96F3" w14:textId="77777777" w:rsidR="003403BC" w:rsidRDefault="003403BC">
            <w:pPr>
              <w:widowControl w:val="0"/>
              <w:jc w:val="center"/>
              <w:rPr>
                <w:rFonts w:asciiTheme="minorHAnsi" w:hAnsiTheme="minorHAnsi" w:cstheme="minorHAnsi"/>
                <w:highlight w:val="yellow"/>
                <w:lang w:eastAsia="ko-KR"/>
              </w:rPr>
            </w:pPr>
          </w:p>
        </w:tc>
      </w:tr>
      <w:tr w:rsidR="003403BC" w14:paraId="0F9134F0" w14:textId="77777777">
        <w:tc>
          <w:tcPr>
            <w:tcW w:w="4428" w:type="dxa"/>
          </w:tcPr>
          <w:p w14:paraId="3F57F843" w14:textId="77777777" w:rsidR="003403BC" w:rsidRDefault="00765BEA">
            <w:pPr>
              <w:widowControl w:val="0"/>
              <w:rPr>
                <w:rFonts w:asciiTheme="minorHAnsi" w:hAnsiTheme="minorHAnsi" w:cstheme="minorHAnsi"/>
                <w:lang w:eastAsia="ko-KR"/>
              </w:rPr>
            </w:pPr>
            <w:r>
              <w:rPr>
                <w:rFonts w:asciiTheme="minorHAnsi" w:hAnsiTheme="minorHAnsi" w:cstheme="minorHAnsi"/>
              </w:rPr>
              <w:t>To:</w:t>
            </w:r>
            <w:r>
              <w:rPr>
                <w:rFonts w:asciiTheme="minorHAnsi" w:hAnsiTheme="minorHAnsi" w:cstheme="minorHAnsi"/>
              </w:rPr>
              <w:tab/>
              <w:t>ENG</w:t>
            </w:r>
            <w:r>
              <w:rPr>
                <w:rFonts w:asciiTheme="minorHAnsi" w:hAnsiTheme="minorHAnsi" w:cstheme="minorHAnsi"/>
                <w:lang w:eastAsia="ko-KR"/>
              </w:rPr>
              <w:t>, VTS, ARM</w:t>
            </w:r>
          </w:p>
        </w:tc>
        <w:tc>
          <w:tcPr>
            <w:tcW w:w="5461" w:type="dxa"/>
            <w:shd w:val="clear" w:color="auto" w:fill="FFFFFF" w:themeFill="background1"/>
          </w:tcPr>
          <w:p w14:paraId="2CDC03F9" w14:textId="77777777" w:rsidR="003403BC" w:rsidRDefault="003403BC">
            <w:pPr>
              <w:widowControl w:val="0"/>
              <w:jc w:val="right"/>
              <w:rPr>
                <w:rFonts w:asciiTheme="minorHAnsi" w:hAnsiTheme="minorHAnsi" w:cstheme="minorHAnsi"/>
                <w:lang w:eastAsia="ko-KR"/>
              </w:rPr>
            </w:pPr>
          </w:p>
        </w:tc>
      </w:tr>
    </w:tbl>
    <w:p w14:paraId="50A8879F" w14:textId="77777777" w:rsidR="003403BC" w:rsidRDefault="003403BC">
      <w:pPr>
        <w:pStyle w:val="BodyText"/>
        <w:tabs>
          <w:tab w:val="left" w:pos="2835"/>
        </w:tabs>
        <w:rPr>
          <w:rFonts w:ascii="Calibri" w:hAnsi="Calibri"/>
        </w:rPr>
      </w:pPr>
    </w:p>
    <w:p w14:paraId="6C67AD95" w14:textId="77777777" w:rsidR="003403BC" w:rsidRDefault="003403BC">
      <w:pPr>
        <w:pStyle w:val="BodyText"/>
        <w:tabs>
          <w:tab w:val="left" w:pos="2835"/>
        </w:tabs>
        <w:rPr>
          <w:rFonts w:ascii="Calibri" w:hAnsi="Calibri"/>
          <w:color w:val="365F91" w:themeColor="accent1" w:themeShade="BF"/>
        </w:rPr>
      </w:pPr>
    </w:p>
    <w:p w14:paraId="607B30A0" w14:textId="77777777" w:rsidR="003403BC" w:rsidRDefault="00765BEA">
      <w:pPr>
        <w:pStyle w:val="Title"/>
        <w:rPr>
          <w:color w:val="548DD4" w:themeColor="text2" w:themeTint="99"/>
        </w:rPr>
      </w:pPr>
      <w:r>
        <w:rPr>
          <w:color w:val="548DD4" w:themeColor="text2" w:themeTint="99"/>
        </w:rPr>
        <w:t>LIAISON NOTE</w:t>
      </w:r>
    </w:p>
    <w:p w14:paraId="710561EF" w14:textId="77777777" w:rsidR="003403BC" w:rsidRDefault="00765BEA">
      <w:pPr>
        <w:pStyle w:val="Title"/>
        <w:rPr>
          <w:rFonts w:eastAsia="MS Mincho"/>
          <w:color w:val="548DD4" w:themeColor="text2" w:themeTint="99"/>
          <w:lang w:eastAsia="ja-JP"/>
        </w:rPr>
      </w:pPr>
      <w:r>
        <w:rPr>
          <w:rFonts w:eastAsia="MS Mincho"/>
          <w:color w:val="548DD4" w:themeColor="text2" w:themeTint="99"/>
          <w:lang w:eastAsia="ja-JP"/>
        </w:rPr>
        <w:t>S-100 vulnerability</w:t>
      </w:r>
    </w:p>
    <w:p w14:paraId="768AF8AB" w14:textId="77777777" w:rsidR="003403BC" w:rsidRDefault="00765BEA">
      <w:pPr>
        <w:pStyle w:val="Title"/>
        <w:rPr>
          <w:rFonts w:ascii="Calibri" w:hAnsi="Calibri"/>
          <w:color w:val="0070C0"/>
        </w:rPr>
      </w:pPr>
      <w:r>
        <w:rPr>
          <w:rFonts w:ascii="Calibri" w:hAnsi="Calibri"/>
          <w:color w:val="0070C0"/>
        </w:rPr>
        <w:t xml:space="preserve">  </w:t>
      </w:r>
    </w:p>
    <w:p w14:paraId="4C72B912" w14:textId="77777777" w:rsidR="003403BC" w:rsidRDefault="00765BEA">
      <w:pPr>
        <w:pStyle w:val="Heading1"/>
      </w:pPr>
      <w:r>
        <w:t>introduction</w:t>
      </w:r>
    </w:p>
    <w:p w14:paraId="6832D89B" w14:textId="48DBB3BD" w:rsidR="003403BC" w:rsidRDefault="00765BEA">
      <w:pPr>
        <w:pStyle w:val="BodyText"/>
        <w:rPr>
          <w:rFonts w:asciiTheme="minorHAnsi" w:hAnsiTheme="minorHAnsi" w:cstheme="minorHAnsi"/>
        </w:rPr>
      </w:pPr>
      <w:r>
        <w:rPr>
          <w:rFonts w:asciiTheme="minorHAnsi" w:hAnsiTheme="minorHAnsi" w:cstheme="minorHAnsi"/>
        </w:rPr>
        <w:t>DTEC discussed the security vulnerability that has been pointed out in the article 'Analysis of Security Vulnerabilities in S-100-Based Maritime Navigation Software'</w:t>
      </w:r>
      <w:r w:rsidR="008D693F">
        <w:rPr>
          <w:rStyle w:val="FootnoteReference"/>
          <w:rFonts w:cstheme="minorHAnsi"/>
        </w:rPr>
        <w:footnoteReference w:id="1"/>
      </w:r>
      <w:r>
        <w:rPr>
          <w:rFonts w:asciiTheme="minorHAnsi" w:hAnsiTheme="minorHAnsi" w:cstheme="minorHAnsi"/>
        </w:rPr>
        <w:t xml:space="preserve"> in the publication 'Cyber Physical System: Security and Resilience Challenges and Solutions'.</w:t>
      </w:r>
      <w:r>
        <w:rPr>
          <w:rStyle w:val="FootnoteReference"/>
          <w:rFonts w:asciiTheme="minorHAnsi" w:hAnsiTheme="minorHAnsi" w:cstheme="minorHAnsi"/>
        </w:rPr>
        <w:footnoteReference w:id="2"/>
      </w:r>
      <w:r>
        <w:rPr>
          <w:rFonts w:asciiTheme="minorHAnsi" w:hAnsiTheme="minorHAnsi" w:cstheme="minorHAnsi"/>
        </w:rPr>
        <w:t xml:space="preserve"> The vulnerability relates to the use of the Lua scripting language for portrayal in S-100.</w:t>
      </w:r>
    </w:p>
    <w:p w14:paraId="01AC8FD3" w14:textId="77777777" w:rsidR="003403BC" w:rsidRDefault="00765BEA">
      <w:pPr>
        <w:pStyle w:val="BodyText"/>
        <w:rPr>
          <w:rFonts w:asciiTheme="minorHAnsi" w:hAnsiTheme="minorHAnsi" w:cstheme="minorHAnsi"/>
        </w:rPr>
      </w:pPr>
      <w:r>
        <w:rPr>
          <w:rFonts w:ascii="Calibri" w:hAnsi="Calibri" w:cstheme="minorHAnsi"/>
        </w:rPr>
        <w:t>Apart from this liaison note the information herein has also been provided to IHO in a separate liaison note.</w:t>
      </w:r>
    </w:p>
    <w:p w14:paraId="54163923" w14:textId="77777777" w:rsidR="003403BC" w:rsidRDefault="00765BEA">
      <w:pPr>
        <w:pStyle w:val="Heading1"/>
      </w:pPr>
      <w:r>
        <w:t>DiscusSION</w:t>
      </w:r>
    </w:p>
    <w:p w14:paraId="70284D59" w14:textId="76511A12" w:rsidR="008D693F" w:rsidRDefault="008D693F" w:rsidP="008D693F">
      <w:pPr>
        <w:pStyle w:val="Heading2"/>
      </w:pPr>
      <w:r>
        <w:t>Overview of vulnerability</w:t>
      </w:r>
    </w:p>
    <w:p w14:paraId="739AE95A" w14:textId="4D931C15" w:rsidR="003403BC" w:rsidRDefault="008D693F">
      <w:pPr>
        <w:pStyle w:val="BodyText"/>
        <w:rPr>
          <w:rFonts w:asciiTheme="minorHAnsi" w:hAnsiTheme="minorHAnsi" w:cstheme="minorHAnsi"/>
        </w:rPr>
      </w:pPr>
      <w:r>
        <w:rPr>
          <w:rFonts w:asciiTheme="minorHAnsi" w:hAnsiTheme="minorHAnsi" w:cstheme="minorHAnsi"/>
        </w:rPr>
        <w:t>S-100 Part 9a describes using scripting for portrayal of S-100 products as defined in S-100 Part 13. The scripting functionality uses the Lua programming language version 5.1. The security vulnerability is very severe (</w:t>
      </w:r>
      <w:r w:rsidR="001166EA">
        <w:rPr>
          <w:rFonts w:asciiTheme="minorHAnsi" w:hAnsiTheme="minorHAnsi" w:cstheme="minorHAnsi"/>
        </w:rPr>
        <w:t>Common Vulnerability Scoring System (</w:t>
      </w:r>
      <w:r>
        <w:rPr>
          <w:rFonts w:asciiTheme="minorHAnsi" w:hAnsiTheme="minorHAnsi" w:cstheme="minorHAnsi"/>
        </w:rPr>
        <w:t>CVSS</w:t>
      </w:r>
      <w:r w:rsidR="001166EA">
        <w:rPr>
          <w:rFonts w:asciiTheme="minorHAnsi" w:hAnsiTheme="minorHAnsi" w:cstheme="minorHAnsi"/>
        </w:rPr>
        <w:t>)</w:t>
      </w:r>
      <w:r>
        <w:rPr>
          <w:rFonts w:asciiTheme="minorHAnsi" w:hAnsiTheme="minorHAnsi" w:cstheme="minorHAnsi"/>
        </w:rPr>
        <w:t xml:space="preserve"> score 9.3) that can enable remote code execution through malicious scripts. As S-100 does not limit what libraries are allowed when using scripting for portrayal and there are no sandboxing requirements the threat is valid and severe for all consumers of S-100 products and not just the ECDIS.</w:t>
      </w:r>
    </w:p>
    <w:p w14:paraId="6C6FBFE8" w14:textId="506F8DA0" w:rsidR="008D693F" w:rsidRDefault="008D693F">
      <w:pPr>
        <w:pStyle w:val="BodyText"/>
        <w:rPr>
          <w:rFonts w:asciiTheme="minorHAnsi" w:hAnsiTheme="minorHAnsi" w:cstheme="minorHAnsi"/>
        </w:rPr>
      </w:pPr>
      <w:r>
        <w:rPr>
          <w:rFonts w:asciiTheme="minorHAnsi" w:hAnsiTheme="minorHAnsi" w:cstheme="minorHAnsi"/>
        </w:rPr>
        <w:t xml:space="preserve">Further investigation and literature review during DTEC6 has noted that support for Lua 5.1 has ended in </w:t>
      </w:r>
      <w:r w:rsidR="00BD5F36">
        <w:rPr>
          <w:rFonts w:asciiTheme="minorHAnsi" w:hAnsiTheme="minorHAnsi" w:cstheme="minorHAnsi"/>
        </w:rPr>
        <w:t>February 2012</w:t>
      </w:r>
      <w:r>
        <w:rPr>
          <w:rFonts w:asciiTheme="minorHAnsi" w:hAnsiTheme="minorHAnsi" w:cstheme="minorHAnsi"/>
        </w:rPr>
        <w:t xml:space="preserve"> and there are still open vulnerabilities found in Lua 5.1 that have not been and will not be fixed that can </w:t>
      </w:r>
      <w:r w:rsidR="00BD5F36">
        <w:rPr>
          <w:rFonts w:asciiTheme="minorHAnsi" w:hAnsiTheme="minorHAnsi" w:cstheme="minorHAnsi"/>
        </w:rPr>
        <w:t>cause Denial of Service attacks on systems</w:t>
      </w:r>
      <w:r w:rsidR="00BD5F36">
        <w:rPr>
          <w:rStyle w:val="FootnoteReference"/>
          <w:rFonts w:cstheme="minorHAnsi"/>
        </w:rPr>
        <w:footnoteReference w:id="3"/>
      </w:r>
      <w:r w:rsidR="00BD5F36">
        <w:rPr>
          <w:rFonts w:asciiTheme="minorHAnsi" w:hAnsiTheme="minorHAnsi" w:cstheme="minorHAnsi"/>
        </w:rPr>
        <w:t>. The currently maintained version of Lua is 5.5 with support and updates still possible for 5.4.</w:t>
      </w:r>
    </w:p>
    <w:p w14:paraId="25CEEBF7" w14:textId="3269BDD0" w:rsidR="002139D5" w:rsidRDefault="002139D5" w:rsidP="002139D5">
      <w:pPr>
        <w:pStyle w:val="Heading2"/>
      </w:pPr>
      <w:r>
        <w:t>Impact</w:t>
      </w:r>
    </w:p>
    <w:p w14:paraId="2AAB9F7F" w14:textId="4AFDFA08" w:rsidR="002139D5" w:rsidRDefault="002139D5" w:rsidP="002139D5">
      <w:pPr>
        <w:pStyle w:val="BodyText"/>
        <w:rPr>
          <w:rFonts w:asciiTheme="minorHAnsi" w:hAnsiTheme="minorHAnsi" w:cstheme="minorHAnsi"/>
        </w:rPr>
      </w:pPr>
      <w:r w:rsidRPr="002139D5">
        <w:rPr>
          <w:rFonts w:asciiTheme="minorHAnsi" w:hAnsiTheme="minorHAnsi" w:cstheme="minorHAnsi"/>
        </w:rPr>
        <w:t xml:space="preserve">As </w:t>
      </w:r>
      <w:r>
        <w:rPr>
          <w:rFonts w:asciiTheme="minorHAnsi" w:hAnsiTheme="minorHAnsi" w:cstheme="minorHAnsi"/>
        </w:rPr>
        <w:t xml:space="preserve">the vulnerability requires the S-100 product to be delivered in an </w:t>
      </w:r>
      <w:proofErr w:type="spellStart"/>
      <w:r>
        <w:rPr>
          <w:rFonts w:asciiTheme="minorHAnsi" w:hAnsiTheme="minorHAnsi" w:cstheme="minorHAnsi"/>
        </w:rPr>
        <w:t>ExchangeSet</w:t>
      </w:r>
      <w:proofErr w:type="spellEnd"/>
      <w:r>
        <w:rPr>
          <w:rFonts w:asciiTheme="minorHAnsi" w:hAnsiTheme="minorHAnsi" w:cstheme="minorHAnsi"/>
        </w:rPr>
        <w:t xml:space="preserve"> and </w:t>
      </w:r>
      <w:proofErr w:type="gramStart"/>
      <w:r>
        <w:rPr>
          <w:rFonts w:asciiTheme="minorHAnsi" w:hAnsiTheme="minorHAnsi" w:cstheme="minorHAnsi"/>
        </w:rPr>
        <w:t xml:space="preserve">by definition </w:t>
      </w:r>
      <w:proofErr w:type="spellStart"/>
      <w:r>
        <w:rPr>
          <w:rFonts w:asciiTheme="minorHAnsi" w:hAnsiTheme="minorHAnsi" w:cstheme="minorHAnsi"/>
        </w:rPr>
        <w:t>ExchangeSets</w:t>
      </w:r>
      <w:proofErr w:type="spellEnd"/>
      <w:proofErr w:type="gramEnd"/>
      <w:r>
        <w:rPr>
          <w:rFonts w:asciiTheme="minorHAnsi" w:hAnsiTheme="minorHAnsi" w:cstheme="minorHAnsi"/>
        </w:rPr>
        <w:t xml:space="preserve"> must include a signature, accepting only </w:t>
      </w:r>
      <w:proofErr w:type="spellStart"/>
      <w:r>
        <w:rPr>
          <w:rFonts w:asciiTheme="minorHAnsi" w:hAnsiTheme="minorHAnsi" w:cstheme="minorHAnsi"/>
        </w:rPr>
        <w:t>ExchangeSets</w:t>
      </w:r>
      <w:proofErr w:type="spellEnd"/>
      <w:r>
        <w:rPr>
          <w:rFonts w:asciiTheme="minorHAnsi" w:hAnsiTheme="minorHAnsi" w:cstheme="minorHAnsi"/>
        </w:rPr>
        <w:t xml:space="preserve"> from trusted sources reduces the impact to some degree. However, as in all cyber security implicitly trusting a source without verifying input is not considered a good practice and all inputs must be validated and verified. </w:t>
      </w:r>
      <w:r w:rsidR="00900D1A">
        <w:rPr>
          <w:rFonts w:asciiTheme="minorHAnsi" w:hAnsiTheme="minorHAnsi" w:cstheme="minorHAnsi"/>
        </w:rPr>
        <w:t xml:space="preserve">Outside of the maritime domain there have been multiple instances of state-sponsored cyber-attacks which cannot be left outside of consideration in the maritime domain and state-sponsored actors may </w:t>
      </w:r>
      <w:r w:rsidR="00023F49">
        <w:rPr>
          <w:rFonts w:asciiTheme="minorHAnsi" w:hAnsiTheme="minorHAnsi" w:cstheme="minorHAnsi"/>
        </w:rPr>
        <w:t xml:space="preserve">either </w:t>
      </w:r>
      <w:r w:rsidR="00900D1A">
        <w:rPr>
          <w:rFonts w:asciiTheme="minorHAnsi" w:hAnsiTheme="minorHAnsi" w:cstheme="minorHAnsi"/>
        </w:rPr>
        <w:t>have access to valid and trusted certificates</w:t>
      </w:r>
      <w:r w:rsidR="00023F49">
        <w:rPr>
          <w:rFonts w:asciiTheme="minorHAnsi" w:hAnsiTheme="minorHAnsi" w:cstheme="minorHAnsi"/>
        </w:rPr>
        <w:t xml:space="preserve"> or be able to place agent programmers in positions where the software is created</w:t>
      </w:r>
      <w:r w:rsidR="00900D1A">
        <w:rPr>
          <w:rFonts w:asciiTheme="minorHAnsi" w:hAnsiTheme="minorHAnsi" w:cstheme="minorHAnsi"/>
        </w:rPr>
        <w:t xml:space="preserve">. </w:t>
      </w:r>
    </w:p>
    <w:p w14:paraId="4E63216F" w14:textId="6879516B" w:rsidR="002139D5" w:rsidRDefault="002139D5" w:rsidP="002139D5">
      <w:pPr>
        <w:pStyle w:val="BodyText"/>
        <w:rPr>
          <w:rFonts w:asciiTheme="minorHAnsi" w:hAnsiTheme="minorHAnsi" w:cstheme="minorHAnsi"/>
        </w:rPr>
      </w:pPr>
      <w:r>
        <w:rPr>
          <w:rFonts w:asciiTheme="minorHAnsi" w:hAnsiTheme="minorHAnsi" w:cstheme="minorHAnsi"/>
        </w:rPr>
        <w:lastRenderedPageBreak/>
        <w:t xml:space="preserve">The impact of the currently open CVEs in Lua 5.1 is mostly limited to Denial of Service (i.e. crashes) of the running system. Depending on the system and how it operates, and installation of a malicious or malformed Lua script that causes such a crash may prevent restarting the system and lead to a crash loop until the script causing the crash can be identified and removed from the system. </w:t>
      </w:r>
    </w:p>
    <w:p w14:paraId="4AC60B29" w14:textId="7CC4F449" w:rsidR="002139D5" w:rsidRPr="002139D5" w:rsidRDefault="002139D5" w:rsidP="002139D5">
      <w:pPr>
        <w:pStyle w:val="BodyText"/>
        <w:rPr>
          <w:rFonts w:asciiTheme="minorHAnsi" w:hAnsiTheme="minorHAnsi" w:cstheme="minorHAnsi"/>
        </w:rPr>
      </w:pPr>
      <w:r>
        <w:rPr>
          <w:rFonts w:asciiTheme="minorHAnsi" w:hAnsiTheme="minorHAnsi" w:cstheme="minorHAnsi"/>
        </w:rPr>
        <w:t xml:space="preserve">The impact of the remote code execution vulnerability that is not dependent on the Lua version is more severe as it can lead to the attacker gaining access to the underlying system. This can lead to installation of other backdoors etc that are no longer dependent on the scripting environment or the original system to be running. </w:t>
      </w:r>
    </w:p>
    <w:p w14:paraId="42932B54" w14:textId="7964B285" w:rsidR="008D693F" w:rsidRDefault="008D693F" w:rsidP="008D693F">
      <w:pPr>
        <w:pStyle w:val="Heading2"/>
      </w:pPr>
      <w:r>
        <w:t>Mitigation options</w:t>
      </w:r>
    </w:p>
    <w:p w14:paraId="18F71949" w14:textId="62E86B0A" w:rsidR="003403BC" w:rsidRDefault="00900D1A">
      <w:pPr>
        <w:pStyle w:val="BodyText"/>
        <w:rPr>
          <w:rFonts w:ascii="Calibri" w:hAnsi="Calibri"/>
        </w:rPr>
      </w:pPr>
      <w:r>
        <w:rPr>
          <w:rFonts w:ascii="Calibri" w:hAnsi="Calibri"/>
        </w:rPr>
        <w:t>The mitigation options depend on the use case of the S-100 product, but the following options may be considered:</w:t>
      </w:r>
    </w:p>
    <w:p w14:paraId="27846EEC" w14:textId="4603FA14" w:rsidR="00900D1A" w:rsidRPr="00900D1A" w:rsidRDefault="00900D1A" w:rsidP="00900D1A">
      <w:pPr>
        <w:pStyle w:val="Heading3"/>
        <w:rPr>
          <w:rFonts w:asciiTheme="minorHAnsi" w:hAnsiTheme="minorHAnsi" w:cstheme="minorHAnsi"/>
        </w:rPr>
      </w:pPr>
      <w:r w:rsidRPr="00900D1A">
        <w:rPr>
          <w:rFonts w:asciiTheme="minorHAnsi" w:hAnsiTheme="minorHAnsi" w:cstheme="minorHAnsi"/>
        </w:rPr>
        <w:t xml:space="preserve">Data validation and sanitation </w:t>
      </w:r>
    </w:p>
    <w:p w14:paraId="33FB7611" w14:textId="3C7548BB" w:rsidR="00900D1A" w:rsidRDefault="00900D1A" w:rsidP="00900D1A">
      <w:pPr>
        <w:pStyle w:val="BodyText"/>
        <w:rPr>
          <w:rFonts w:asciiTheme="minorHAnsi" w:hAnsiTheme="minorHAnsi" w:cstheme="minorHAnsi"/>
          <w:lang w:eastAsia="de-DE"/>
        </w:rPr>
      </w:pPr>
      <w:r w:rsidRPr="00900D1A">
        <w:rPr>
          <w:rFonts w:asciiTheme="minorHAnsi" w:hAnsiTheme="minorHAnsi" w:cstheme="minorHAnsi"/>
          <w:lang w:eastAsia="de-DE"/>
        </w:rPr>
        <w:t xml:space="preserve">Ensuring </w:t>
      </w:r>
      <w:r>
        <w:rPr>
          <w:rFonts w:asciiTheme="minorHAnsi" w:hAnsiTheme="minorHAnsi" w:cstheme="minorHAnsi"/>
          <w:lang w:eastAsia="de-DE"/>
        </w:rPr>
        <w:t xml:space="preserve">that the received data comes from a trusted source via certificate and signature checks is the first step. However, blindly trusting incoming scripts from even a trusted source is not valid approach and input sanitation must also be considered. </w:t>
      </w:r>
    </w:p>
    <w:p w14:paraId="5533B93C" w14:textId="545A5013" w:rsidR="00900D1A" w:rsidRDefault="00900D1A" w:rsidP="00900D1A">
      <w:pPr>
        <w:pStyle w:val="BodyText"/>
        <w:rPr>
          <w:rFonts w:asciiTheme="minorHAnsi" w:hAnsiTheme="minorHAnsi" w:cstheme="minorHAnsi"/>
          <w:lang w:eastAsia="de-DE"/>
        </w:rPr>
      </w:pPr>
      <w:r>
        <w:rPr>
          <w:rFonts w:asciiTheme="minorHAnsi" w:hAnsiTheme="minorHAnsi" w:cstheme="minorHAnsi"/>
          <w:lang w:eastAsia="de-DE"/>
        </w:rPr>
        <w:t xml:space="preserve">For use cases in which portrayal is not required to be received (e.g. bi-directional route transfer in S-421 or distribution of navigational warnings in S-124) recipients of the data can and should interpret a received </w:t>
      </w:r>
      <w:proofErr w:type="spellStart"/>
      <w:r>
        <w:rPr>
          <w:rFonts w:asciiTheme="minorHAnsi" w:hAnsiTheme="minorHAnsi" w:cstheme="minorHAnsi"/>
          <w:lang w:eastAsia="de-DE"/>
        </w:rPr>
        <w:t>ExchangeSet</w:t>
      </w:r>
      <w:proofErr w:type="spellEnd"/>
      <w:r>
        <w:rPr>
          <w:rFonts w:asciiTheme="minorHAnsi" w:hAnsiTheme="minorHAnsi" w:cstheme="minorHAnsi"/>
          <w:lang w:eastAsia="de-DE"/>
        </w:rPr>
        <w:t xml:space="preserve"> with Lua scripting present as malicious data and reject it outright. </w:t>
      </w:r>
    </w:p>
    <w:p w14:paraId="231DB8AC" w14:textId="4BEAC615" w:rsidR="00900D1A" w:rsidRPr="00900D1A" w:rsidRDefault="00900D1A" w:rsidP="00900D1A">
      <w:pPr>
        <w:pStyle w:val="Heading3"/>
        <w:rPr>
          <w:rFonts w:asciiTheme="minorHAnsi" w:hAnsiTheme="minorHAnsi" w:cstheme="minorHAnsi"/>
        </w:rPr>
      </w:pPr>
      <w:r>
        <w:rPr>
          <w:rFonts w:asciiTheme="minorHAnsi" w:hAnsiTheme="minorHAnsi" w:cstheme="minorHAnsi"/>
        </w:rPr>
        <w:t>Sandboxing script execution</w:t>
      </w:r>
    </w:p>
    <w:p w14:paraId="3EAD79A1" w14:textId="535C4692" w:rsidR="00900D1A" w:rsidRDefault="00900D1A" w:rsidP="00900D1A">
      <w:pPr>
        <w:pStyle w:val="BodyText"/>
        <w:rPr>
          <w:rFonts w:asciiTheme="minorHAnsi" w:hAnsiTheme="minorHAnsi" w:cstheme="minorHAnsi"/>
          <w:lang w:eastAsia="de-DE"/>
        </w:rPr>
      </w:pPr>
      <w:r>
        <w:rPr>
          <w:rFonts w:asciiTheme="minorHAnsi" w:hAnsiTheme="minorHAnsi" w:cstheme="minorHAnsi"/>
          <w:lang w:eastAsia="de-DE"/>
        </w:rPr>
        <w:t xml:space="preserve">As suggested in the research paper, sandboxing the script execution </w:t>
      </w:r>
      <w:r w:rsidR="00935498">
        <w:rPr>
          <w:rFonts w:asciiTheme="minorHAnsi" w:hAnsiTheme="minorHAnsi" w:cstheme="minorHAnsi"/>
          <w:lang w:eastAsia="de-DE"/>
        </w:rPr>
        <w:t xml:space="preserve">to an environment that does not allow access to the underlying system and in which the crash of the sandboxed environment does not cause a crash of the application itself will allow for safer execution of the script. The performance implication of sandboxing must be evaluated separately. </w:t>
      </w:r>
    </w:p>
    <w:p w14:paraId="5F3DD281" w14:textId="4A485E7A" w:rsidR="00935498" w:rsidRDefault="00935498" w:rsidP="00900D1A">
      <w:pPr>
        <w:pStyle w:val="BodyText"/>
        <w:rPr>
          <w:rFonts w:asciiTheme="minorHAnsi" w:hAnsiTheme="minorHAnsi" w:cstheme="minorHAnsi"/>
          <w:lang w:eastAsia="de-DE"/>
        </w:rPr>
      </w:pPr>
      <w:r>
        <w:rPr>
          <w:rFonts w:asciiTheme="minorHAnsi" w:hAnsiTheme="minorHAnsi" w:cstheme="minorHAnsi"/>
          <w:lang w:eastAsia="de-DE"/>
        </w:rPr>
        <w:t>There is a performant and sandboxed derivative of Lua 5.1 called Luau</w:t>
      </w:r>
      <w:r>
        <w:rPr>
          <w:rStyle w:val="FootnoteReference"/>
          <w:rFonts w:cstheme="minorHAnsi"/>
          <w:lang w:eastAsia="de-DE"/>
        </w:rPr>
        <w:footnoteReference w:id="4"/>
      </w:r>
      <w:r>
        <w:rPr>
          <w:rFonts w:asciiTheme="minorHAnsi" w:hAnsiTheme="minorHAnsi" w:cstheme="minorHAnsi"/>
          <w:lang w:eastAsia="de-DE"/>
        </w:rPr>
        <w:t xml:space="preserve"> that may prove to be an adequate sandboxing environment for S-100 use but this needs to be evaluated further. </w:t>
      </w:r>
    </w:p>
    <w:p w14:paraId="64A94156" w14:textId="4B0F7D55" w:rsidR="00935498" w:rsidRPr="00900D1A" w:rsidRDefault="00935498" w:rsidP="00935498">
      <w:pPr>
        <w:pStyle w:val="Heading3"/>
        <w:rPr>
          <w:rFonts w:asciiTheme="minorHAnsi" w:hAnsiTheme="minorHAnsi" w:cstheme="minorHAnsi"/>
        </w:rPr>
      </w:pPr>
      <w:r>
        <w:rPr>
          <w:rFonts w:asciiTheme="minorHAnsi" w:hAnsiTheme="minorHAnsi" w:cstheme="minorHAnsi"/>
        </w:rPr>
        <w:t>Limiting allowed libraries</w:t>
      </w:r>
    </w:p>
    <w:p w14:paraId="6D189F6E" w14:textId="66C51C3B" w:rsidR="00935498" w:rsidRDefault="00935498" w:rsidP="00900D1A">
      <w:pPr>
        <w:pStyle w:val="BodyText"/>
        <w:rPr>
          <w:rFonts w:asciiTheme="minorHAnsi" w:hAnsiTheme="minorHAnsi" w:cstheme="minorHAnsi"/>
          <w:lang w:eastAsia="de-DE"/>
        </w:rPr>
      </w:pPr>
      <w:r>
        <w:rPr>
          <w:rFonts w:asciiTheme="minorHAnsi" w:hAnsiTheme="minorHAnsi" w:cstheme="minorHAnsi"/>
          <w:lang w:eastAsia="de-DE"/>
        </w:rPr>
        <w:t>S-100 consumers could limit the allowed libraries that Lua scripts can utilize to provide a more secure approach without the need for sandboxing (see the previous footnote). However</w:t>
      </w:r>
      <w:r w:rsidR="006D5F2C">
        <w:rPr>
          <w:rFonts w:asciiTheme="minorHAnsi" w:hAnsiTheme="minorHAnsi" w:cstheme="minorHAnsi"/>
          <w:lang w:eastAsia="de-DE"/>
        </w:rPr>
        <w:t>,</w:t>
      </w:r>
      <w:r>
        <w:rPr>
          <w:rFonts w:asciiTheme="minorHAnsi" w:hAnsiTheme="minorHAnsi" w:cstheme="minorHAnsi"/>
          <w:lang w:eastAsia="de-DE"/>
        </w:rPr>
        <w:t xml:space="preserve"> this does not solve the open issues with Lua 5.1 open CVEs that are not going to be fixed.</w:t>
      </w:r>
    </w:p>
    <w:p w14:paraId="6F0C9C88" w14:textId="6B600E65" w:rsidR="004B17E6" w:rsidRPr="00900D1A" w:rsidRDefault="004B17E6" w:rsidP="004B17E6">
      <w:pPr>
        <w:pStyle w:val="Heading3"/>
        <w:rPr>
          <w:rFonts w:asciiTheme="minorHAnsi" w:hAnsiTheme="minorHAnsi" w:cstheme="minorHAnsi"/>
        </w:rPr>
      </w:pPr>
      <w:r>
        <w:rPr>
          <w:rFonts w:asciiTheme="minorHAnsi" w:hAnsiTheme="minorHAnsi" w:cstheme="minorHAnsi"/>
        </w:rPr>
        <w:t>Updating Lua</w:t>
      </w:r>
    </w:p>
    <w:p w14:paraId="7D272694" w14:textId="35B3ACFC" w:rsidR="004B17E6" w:rsidRPr="00900D1A" w:rsidRDefault="004B17E6" w:rsidP="00900D1A">
      <w:pPr>
        <w:pStyle w:val="BodyText"/>
        <w:rPr>
          <w:rFonts w:asciiTheme="minorHAnsi" w:hAnsiTheme="minorHAnsi" w:cstheme="minorHAnsi"/>
          <w:lang w:eastAsia="de-DE"/>
        </w:rPr>
      </w:pPr>
      <w:r>
        <w:rPr>
          <w:rFonts w:asciiTheme="minorHAnsi" w:hAnsiTheme="minorHAnsi" w:cstheme="minorHAnsi"/>
          <w:lang w:eastAsia="de-DE"/>
        </w:rPr>
        <w:t xml:space="preserve">As Lua 5.1 has not received any updates since 2012 and there are open </w:t>
      </w:r>
      <w:r w:rsidR="001166EA">
        <w:rPr>
          <w:rFonts w:asciiTheme="minorHAnsi" w:hAnsiTheme="minorHAnsi" w:cstheme="minorHAnsi"/>
          <w:lang w:eastAsia="de-DE"/>
        </w:rPr>
        <w:t>Common Vulnerabilities and Exposures (</w:t>
      </w:r>
      <w:r>
        <w:rPr>
          <w:rFonts w:asciiTheme="minorHAnsi" w:hAnsiTheme="minorHAnsi" w:cstheme="minorHAnsi"/>
          <w:lang w:eastAsia="de-DE"/>
        </w:rPr>
        <w:t>CVEs</w:t>
      </w:r>
      <w:r w:rsidR="001166EA">
        <w:rPr>
          <w:rFonts w:asciiTheme="minorHAnsi" w:hAnsiTheme="minorHAnsi" w:cstheme="minorHAnsi"/>
          <w:lang w:eastAsia="de-DE"/>
        </w:rPr>
        <w:t>)</w:t>
      </w:r>
      <w:r>
        <w:rPr>
          <w:rFonts w:asciiTheme="minorHAnsi" w:hAnsiTheme="minorHAnsi" w:cstheme="minorHAnsi"/>
          <w:lang w:eastAsia="de-DE"/>
        </w:rPr>
        <w:t xml:space="preserve"> it is recommended that a more modern Lua runtime is used in combination with the previous mitigation strategies. As Lua 5.5 is not necessarily backwards compatible to Lua 5.1 this may cause issues with existing portrayals. </w:t>
      </w:r>
    </w:p>
    <w:p w14:paraId="5A91B519" w14:textId="77777777" w:rsidR="003403BC" w:rsidRDefault="00765BEA">
      <w:pPr>
        <w:pStyle w:val="Heading1"/>
      </w:pPr>
      <w:r>
        <w:t>ACTION REQUESTED</w:t>
      </w:r>
    </w:p>
    <w:p w14:paraId="3F654523" w14:textId="77777777" w:rsidR="004B17E6" w:rsidRDefault="00765BEA">
      <w:pPr>
        <w:pStyle w:val="BodyText"/>
        <w:spacing w:line="276" w:lineRule="auto"/>
        <w:rPr>
          <w:rFonts w:asciiTheme="minorHAnsi" w:hAnsiTheme="minorHAnsi" w:cstheme="minorHAnsi"/>
        </w:rPr>
      </w:pPr>
      <w:r>
        <w:rPr>
          <w:rFonts w:asciiTheme="minorHAnsi" w:hAnsiTheme="minorHAnsi" w:cstheme="minorHAnsi"/>
        </w:rPr>
        <w:t>ENG, ARM and VT</w:t>
      </w:r>
      <w:r w:rsidR="00BD5F36">
        <w:rPr>
          <w:rFonts w:asciiTheme="minorHAnsi" w:hAnsiTheme="minorHAnsi" w:cstheme="minorHAnsi"/>
        </w:rPr>
        <w:t>S</w:t>
      </w:r>
      <w:r>
        <w:rPr>
          <w:rFonts w:asciiTheme="minorHAnsi" w:hAnsiTheme="minorHAnsi" w:cstheme="minorHAnsi"/>
        </w:rPr>
        <w:t xml:space="preserve"> is requested to </w:t>
      </w:r>
    </w:p>
    <w:p w14:paraId="3E018AD2" w14:textId="77777777" w:rsidR="00FB5C9D" w:rsidRDefault="00765BEA" w:rsidP="00FB5C9D">
      <w:pPr>
        <w:pStyle w:val="Bullet1"/>
        <w:rPr>
          <w:rFonts w:asciiTheme="minorHAnsi" w:hAnsiTheme="minorHAnsi" w:cstheme="minorHAnsi"/>
        </w:rPr>
      </w:pPr>
      <w:r w:rsidRPr="00FB5C9D">
        <w:rPr>
          <w:rFonts w:asciiTheme="minorHAnsi" w:hAnsiTheme="minorHAnsi" w:cstheme="minorHAnsi"/>
        </w:rPr>
        <w:t>take note of the information</w:t>
      </w:r>
      <w:r w:rsidR="00900D1A" w:rsidRPr="00FB5C9D">
        <w:rPr>
          <w:rFonts w:asciiTheme="minorHAnsi" w:hAnsiTheme="minorHAnsi" w:cstheme="minorHAnsi"/>
        </w:rPr>
        <w:t xml:space="preserve"> </w:t>
      </w:r>
    </w:p>
    <w:p w14:paraId="22DD6709" w14:textId="5C37600C" w:rsidR="003403BC" w:rsidRDefault="00900D1A" w:rsidP="00FB5C9D">
      <w:pPr>
        <w:pStyle w:val="Bullet1"/>
        <w:rPr>
          <w:rFonts w:asciiTheme="minorHAnsi" w:hAnsiTheme="minorHAnsi" w:cstheme="minorHAnsi"/>
        </w:rPr>
      </w:pPr>
      <w:r w:rsidRPr="00FB5C9D">
        <w:rPr>
          <w:rFonts w:asciiTheme="minorHAnsi" w:hAnsiTheme="minorHAnsi" w:cstheme="minorHAnsi"/>
        </w:rPr>
        <w:t>consider how it applies to information systems in their domain that either generate or consume S-100 products</w:t>
      </w:r>
    </w:p>
    <w:p w14:paraId="06033D17" w14:textId="5A6DCEFE" w:rsidR="00FB5C9D" w:rsidRPr="00FB5C9D" w:rsidRDefault="00FB5C9D" w:rsidP="00FB5C9D">
      <w:pPr>
        <w:pStyle w:val="Bullet1"/>
        <w:rPr>
          <w:rFonts w:asciiTheme="minorHAnsi" w:hAnsiTheme="minorHAnsi" w:cstheme="minorHAnsi"/>
        </w:rPr>
      </w:pPr>
      <w:r>
        <w:rPr>
          <w:rFonts w:asciiTheme="minorHAnsi" w:hAnsiTheme="minorHAnsi" w:cstheme="minorHAnsi"/>
        </w:rPr>
        <w:lastRenderedPageBreak/>
        <w:t>keep other committees and stakeholders informed of other security vulnerabilities that are found in S-100 and related technologies</w:t>
      </w:r>
    </w:p>
    <w:p w14:paraId="22C68DC7" w14:textId="77777777" w:rsidR="003403BC" w:rsidRDefault="003403BC">
      <w:pPr>
        <w:rPr>
          <w:rFonts w:asciiTheme="minorHAnsi" w:hAnsiTheme="minorHAnsi" w:cstheme="minorHAnsi"/>
        </w:rPr>
      </w:pPr>
    </w:p>
    <w:sectPr w:rsidR="003403BC">
      <w:headerReference w:type="even" r:id="rId11"/>
      <w:headerReference w:type="default" r:id="rId12"/>
      <w:headerReference w:type="first" r:id="rId13"/>
      <w:pgSz w:w="11906" w:h="16838"/>
      <w:pgMar w:top="1134" w:right="1134" w:bottom="1134" w:left="1134"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C7E98" w14:textId="77777777" w:rsidR="00765BEA" w:rsidRDefault="00765BEA">
      <w:r>
        <w:separator/>
      </w:r>
    </w:p>
  </w:endnote>
  <w:endnote w:type="continuationSeparator" w:id="0">
    <w:p w14:paraId="7C22E2A8" w14:textId="77777777" w:rsidR="00765BEA" w:rsidRDefault="0076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1"/>
    <w:family w:val="swiss"/>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0E604" w14:textId="77777777" w:rsidR="00765BEA" w:rsidRDefault="00765BEA">
      <w:r>
        <w:separator/>
      </w:r>
    </w:p>
  </w:footnote>
  <w:footnote w:type="continuationSeparator" w:id="0">
    <w:p w14:paraId="0A1ADAED" w14:textId="77777777" w:rsidR="00765BEA" w:rsidRDefault="00765BEA">
      <w:r>
        <w:continuationSeparator/>
      </w:r>
    </w:p>
  </w:footnote>
  <w:footnote w:id="1">
    <w:p w14:paraId="2F8B384C" w14:textId="2540F733" w:rsidR="008D693F" w:rsidRPr="008D693F" w:rsidRDefault="008D693F">
      <w:pPr>
        <w:pStyle w:val="FootnoteText"/>
      </w:pPr>
      <w:r>
        <w:rPr>
          <w:rStyle w:val="FootnoteReference"/>
        </w:rPr>
        <w:footnoteRef/>
      </w:r>
      <w:r>
        <w:t xml:space="preserve"> </w:t>
      </w:r>
      <w:r w:rsidRPr="008D693F">
        <w:rPr>
          <w:rStyle w:val="BodyTextIndent2Char"/>
          <w:sz w:val="16"/>
          <w:szCs w:val="16"/>
        </w:rPr>
        <w:t xml:space="preserve">Available at </w:t>
      </w:r>
      <w:hyperlink r:id="rId1" w:history="1">
        <w:r w:rsidRPr="008D693F">
          <w:rPr>
            <w:rStyle w:val="BodyTextIndent2Char"/>
            <w:sz w:val="16"/>
            <w:szCs w:val="16"/>
          </w:rPr>
          <w:t>https://www.mdpi.com/1424-8220/26/4/1246</w:t>
        </w:r>
      </w:hyperlink>
      <w:r>
        <w:t xml:space="preserve"> </w:t>
      </w:r>
    </w:p>
  </w:footnote>
  <w:footnote w:id="2">
    <w:p w14:paraId="14B50274" w14:textId="1BC10EB1" w:rsidR="003403BC" w:rsidRDefault="00765BEA">
      <w:pPr>
        <w:pStyle w:val="FootnoteText"/>
        <w:rPr>
          <w:sz w:val="16"/>
          <w:szCs w:val="16"/>
        </w:rPr>
      </w:pPr>
      <w:r>
        <w:rPr>
          <w:rStyle w:val="FootnoteCharacters"/>
        </w:rPr>
        <w:footnoteRef/>
      </w:r>
      <w:r w:rsidR="00F76B42">
        <w:rPr>
          <w:sz w:val="16"/>
          <w:szCs w:val="16"/>
        </w:rPr>
        <w:t xml:space="preserve"> </w:t>
      </w:r>
      <w:proofErr w:type="spellStart"/>
      <w:r>
        <w:rPr>
          <w:sz w:val="16"/>
          <w:szCs w:val="16"/>
        </w:rPr>
        <w:t>Hoyeon</w:t>
      </w:r>
      <w:proofErr w:type="spellEnd"/>
      <w:r>
        <w:rPr>
          <w:sz w:val="16"/>
          <w:szCs w:val="16"/>
        </w:rPr>
        <w:t xml:space="preserve"> Cho, Division of Maritime Information Technology, National Korea Maritime and Ocean University, Busan 49112, Republic of Korea; </w:t>
      </w:r>
      <w:proofErr w:type="spellStart"/>
      <w:r>
        <w:rPr>
          <w:sz w:val="16"/>
          <w:szCs w:val="16"/>
        </w:rPr>
        <w:t>Changui</w:t>
      </w:r>
      <w:proofErr w:type="spellEnd"/>
      <w:r>
        <w:rPr>
          <w:sz w:val="16"/>
          <w:szCs w:val="16"/>
        </w:rPr>
        <w:t xml:space="preserve"> Lee, </w:t>
      </w:r>
      <w:proofErr w:type="spellStart"/>
      <w:r>
        <w:rPr>
          <w:sz w:val="16"/>
          <w:szCs w:val="16"/>
        </w:rPr>
        <w:t>SemanticWave</w:t>
      </w:r>
      <w:proofErr w:type="spellEnd"/>
      <w:r>
        <w:rPr>
          <w:sz w:val="16"/>
          <w:szCs w:val="16"/>
        </w:rPr>
        <w:t xml:space="preserve">, Busan 47257, Republic of Korea; </w:t>
      </w:r>
      <w:proofErr w:type="spellStart"/>
      <w:r>
        <w:rPr>
          <w:sz w:val="16"/>
          <w:szCs w:val="16"/>
        </w:rPr>
        <w:t>Seojeong</w:t>
      </w:r>
      <w:proofErr w:type="spellEnd"/>
      <w:r>
        <w:rPr>
          <w:sz w:val="16"/>
          <w:szCs w:val="16"/>
        </w:rPr>
        <w:t xml:space="preserve"> Lee, Division of Marine System Engineering, National Korea Maritime and Ocean University, Busan 49112, Republic of Korea</w:t>
      </w:r>
      <w:r w:rsidR="008D693F">
        <w:rPr>
          <w:sz w:val="16"/>
          <w:szCs w:val="16"/>
        </w:rPr>
        <w:t xml:space="preserve"> </w:t>
      </w:r>
    </w:p>
  </w:footnote>
  <w:footnote w:id="3">
    <w:p w14:paraId="00B947C6" w14:textId="7B13D486" w:rsidR="00BD5F36" w:rsidRPr="00BD5F36" w:rsidRDefault="00BD5F36">
      <w:pPr>
        <w:pStyle w:val="FootnoteText"/>
        <w:rPr>
          <w:lang w:val="en-US"/>
        </w:rPr>
      </w:pPr>
      <w:r>
        <w:rPr>
          <w:rStyle w:val="FootnoteReference"/>
        </w:rPr>
        <w:footnoteRef/>
      </w:r>
      <w:r>
        <w:t xml:space="preserve"> </w:t>
      </w:r>
      <w:r w:rsidRPr="00BD5F36">
        <w:rPr>
          <w:sz w:val="16"/>
          <w:szCs w:val="16"/>
          <w:lang w:val="en-US"/>
        </w:rPr>
        <w:t>See https://app.opencve.io/cve/?vendor=lua</w:t>
      </w:r>
    </w:p>
  </w:footnote>
  <w:footnote w:id="4">
    <w:p w14:paraId="555D5D5D" w14:textId="1EF2CC99" w:rsidR="00935498" w:rsidRPr="00935498" w:rsidRDefault="00935498">
      <w:pPr>
        <w:pStyle w:val="FootnoteText"/>
        <w:rPr>
          <w:lang w:val="fi-FI"/>
        </w:rPr>
      </w:pPr>
      <w:r>
        <w:rPr>
          <w:rStyle w:val="FootnoteReference"/>
        </w:rPr>
        <w:footnoteRef/>
      </w:r>
      <w:r>
        <w:t xml:space="preserve"> </w:t>
      </w:r>
      <w:r w:rsidRPr="00935498">
        <w:rPr>
          <w:rFonts w:cs="Arial"/>
          <w:sz w:val="16"/>
          <w:szCs w:val="16"/>
        </w:rPr>
        <w:t>https://luau.org/sandbox/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3344" w14:textId="77777777" w:rsidR="003403BC" w:rsidRDefault="0034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3404" w14:textId="77777777" w:rsidR="003403BC" w:rsidRDefault="00765BEA">
    <w:pPr>
      <w:pStyle w:val="Header"/>
      <w:jc w:val="right"/>
    </w:pPr>
    <w:r>
      <w:rPr>
        <w:noProof/>
      </w:rPr>
      <w:drawing>
        <wp:inline distT="0" distB="0" distL="0" distR="0" wp14:anchorId="6A94D7DD" wp14:editId="6B2A2794">
          <wp:extent cx="850900" cy="824230"/>
          <wp:effectExtent l="0" t="0" r="0" b="0"/>
          <wp:docPr id="1" name="Image2" descr="A logo with a mermaid in the 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A logo with a mermaid in the air&#10;&#10;AI-generated content may be incorrect."/>
                  <pic:cNvPicPr>
                    <a:picLocks noChangeAspect="1" noChangeArrowheads="1"/>
                  </pic:cNvPicPr>
                </pic:nvPicPr>
                <pic:blipFill>
                  <a:blip r:embed="rId1"/>
                  <a:stretch>
                    <a:fillRect/>
                  </a:stretch>
                </pic:blipFill>
                <pic:spPr bwMode="auto">
                  <a:xfrm>
                    <a:off x="0" y="0"/>
                    <a:ext cx="850900" cy="8242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17E4" w14:textId="77777777" w:rsidR="003403BC" w:rsidRDefault="00765BEA">
    <w:pPr>
      <w:pStyle w:val="Header"/>
      <w:jc w:val="right"/>
    </w:pPr>
    <w:r>
      <w:rPr>
        <w:noProof/>
      </w:rPr>
      <w:drawing>
        <wp:inline distT="0" distB="0" distL="0" distR="0" wp14:anchorId="4B3D40FE" wp14:editId="07F31D3B">
          <wp:extent cx="850900" cy="824230"/>
          <wp:effectExtent l="0" t="0" r="0" b="0"/>
          <wp:docPr id="2" name="Image2" descr="A logo with a mermaid in the 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logo with a mermaid in the air&#10;&#10;AI-generated content may be incorrect."/>
                  <pic:cNvPicPr>
                    <a:picLocks noChangeAspect="1" noChangeArrowheads="1"/>
                  </pic:cNvPicPr>
                </pic:nvPicPr>
                <pic:blipFill>
                  <a:blip r:embed="rId1"/>
                  <a:stretch>
                    <a:fillRect/>
                  </a:stretch>
                </pic:blipFill>
                <pic:spPr bwMode="auto">
                  <a:xfrm>
                    <a:off x="0" y="0"/>
                    <a:ext cx="850900" cy="8242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C4E52"/>
    <w:multiLevelType w:val="multilevel"/>
    <w:tmpl w:val="CFE06E80"/>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pStyle w:val="AppendixHeading2"/>
      <w:lvlText w:val="%1.%2"/>
      <w:lvlJc w:val="left"/>
      <w:pPr>
        <w:tabs>
          <w:tab w:val="num" w:pos="851"/>
        </w:tabs>
        <w:ind w:left="851" w:hanging="851"/>
      </w:pPr>
      <w:rPr>
        <w:rFonts w:ascii="Arial" w:hAnsi="Arial"/>
        <w:b/>
        <w:i w:val="0"/>
        <w:sz w:val="22"/>
      </w:rPr>
    </w:lvl>
    <w:lvl w:ilvl="2">
      <w:start w:val="1"/>
      <w:numFmt w:val="decimal"/>
      <w:pStyle w:val="AppendixHeading3"/>
      <w:lvlText w:val="%1.%2.%3"/>
      <w:lvlJc w:val="left"/>
      <w:pPr>
        <w:tabs>
          <w:tab w:val="num" w:pos="992"/>
        </w:tabs>
        <w:ind w:left="992" w:hanging="992"/>
      </w:pPr>
      <w:rPr>
        <w:rFonts w:ascii="Arial" w:hAnsi="Arial"/>
        <w:b w:val="0"/>
        <w:i w:val="0"/>
        <w:sz w:val="22"/>
      </w:rPr>
    </w:lvl>
    <w:lvl w:ilvl="3">
      <w:start w:val="1"/>
      <w:numFmt w:val="decimal"/>
      <w:pStyle w:val="AppendixHeading4"/>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C886876"/>
    <w:multiLevelType w:val="multilevel"/>
    <w:tmpl w:val="AEF22946"/>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D385D5A"/>
    <w:multiLevelType w:val="multilevel"/>
    <w:tmpl w:val="2AEADD76"/>
    <w:lvl w:ilvl="0">
      <w:start w:val="1"/>
      <w:numFmt w:val="decimal"/>
      <w:pStyle w:val="equation"/>
      <w:lvlText w:val="(equation %1)"/>
      <w:lvlJc w:val="right"/>
      <w:pPr>
        <w:tabs>
          <w:tab w:val="num" w:pos="0"/>
        </w:tabs>
        <w:ind w:left="8180" w:hanging="360"/>
      </w:pPr>
      <w:rPr>
        <w:rFonts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8900" w:hanging="360"/>
      </w:pPr>
    </w:lvl>
    <w:lvl w:ilvl="2">
      <w:start w:val="1"/>
      <w:numFmt w:val="lowerRoman"/>
      <w:lvlText w:val="%3."/>
      <w:lvlJc w:val="right"/>
      <w:pPr>
        <w:tabs>
          <w:tab w:val="num" w:pos="0"/>
        </w:tabs>
        <w:ind w:left="9620" w:hanging="180"/>
      </w:pPr>
    </w:lvl>
    <w:lvl w:ilvl="3">
      <w:start w:val="1"/>
      <w:numFmt w:val="decimal"/>
      <w:lvlText w:val="%4."/>
      <w:lvlJc w:val="left"/>
      <w:pPr>
        <w:tabs>
          <w:tab w:val="num" w:pos="0"/>
        </w:tabs>
        <w:ind w:left="10340" w:hanging="360"/>
      </w:pPr>
    </w:lvl>
    <w:lvl w:ilvl="4">
      <w:start w:val="1"/>
      <w:numFmt w:val="lowerLetter"/>
      <w:lvlText w:val="%5."/>
      <w:lvlJc w:val="left"/>
      <w:pPr>
        <w:tabs>
          <w:tab w:val="num" w:pos="0"/>
        </w:tabs>
        <w:ind w:left="11060" w:hanging="360"/>
      </w:pPr>
    </w:lvl>
    <w:lvl w:ilvl="5">
      <w:start w:val="1"/>
      <w:numFmt w:val="lowerRoman"/>
      <w:lvlText w:val="%6."/>
      <w:lvlJc w:val="right"/>
      <w:pPr>
        <w:tabs>
          <w:tab w:val="num" w:pos="0"/>
        </w:tabs>
        <w:ind w:left="11780" w:hanging="180"/>
      </w:pPr>
    </w:lvl>
    <w:lvl w:ilvl="6">
      <w:start w:val="1"/>
      <w:numFmt w:val="decimal"/>
      <w:lvlText w:val="%7."/>
      <w:lvlJc w:val="left"/>
      <w:pPr>
        <w:tabs>
          <w:tab w:val="num" w:pos="0"/>
        </w:tabs>
        <w:ind w:left="12500" w:hanging="360"/>
      </w:pPr>
    </w:lvl>
    <w:lvl w:ilvl="7">
      <w:start w:val="1"/>
      <w:numFmt w:val="lowerLetter"/>
      <w:lvlText w:val="%8."/>
      <w:lvlJc w:val="left"/>
      <w:pPr>
        <w:tabs>
          <w:tab w:val="num" w:pos="0"/>
        </w:tabs>
        <w:ind w:left="13220" w:hanging="360"/>
      </w:pPr>
    </w:lvl>
    <w:lvl w:ilvl="8">
      <w:start w:val="1"/>
      <w:numFmt w:val="lowerRoman"/>
      <w:lvlText w:val="%9."/>
      <w:lvlJc w:val="right"/>
      <w:pPr>
        <w:tabs>
          <w:tab w:val="num" w:pos="0"/>
        </w:tabs>
        <w:ind w:left="13940" w:hanging="180"/>
      </w:pPr>
    </w:lvl>
  </w:abstractNum>
  <w:abstractNum w:abstractNumId="3" w15:restartNumberingAfterBreak="0">
    <w:nsid w:val="268F6A51"/>
    <w:multiLevelType w:val="multilevel"/>
    <w:tmpl w:val="D0CCCCCC"/>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08935FA"/>
    <w:multiLevelType w:val="multilevel"/>
    <w:tmpl w:val="D1043D8C"/>
    <w:lvl w:ilvl="0">
      <w:start w:val="1"/>
      <w:numFmt w:val="bullet"/>
      <w:pStyle w:val="Bullet2"/>
      <w:lvlText w:val="-"/>
      <w:lvlJc w:val="left"/>
      <w:pPr>
        <w:tabs>
          <w:tab w:val="num" w:pos="0"/>
        </w:tabs>
        <w:ind w:left="2421" w:hanging="360"/>
      </w:pPr>
      <w:rPr>
        <w:rFonts w:ascii="Arial" w:hAnsi="Arial" w:cs="Aria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5" w15:restartNumberingAfterBreak="0">
    <w:nsid w:val="33620273"/>
    <w:multiLevelType w:val="multilevel"/>
    <w:tmpl w:val="3252BB7E"/>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1A527F"/>
    <w:multiLevelType w:val="multilevel"/>
    <w:tmpl w:val="2788F030"/>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9C33164"/>
    <w:multiLevelType w:val="hybridMultilevel"/>
    <w:tmpl w:val="FB7C5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8257B"/>
    <w:multiLevelType w:val="multilevel"/>
    <w:tmpl w:val="3FA4FD72"/>
    <w:lvl w:ilvl="0">
      <w:start w:val="1"/>
      <w:numFmt w:val="decimal"/>
      <w:pStyle w:val="AnnexFigureCaption"/>
      <w:lvlText w:val="Figur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DE41144"/>
    <w:multiLevelType w:val="multilevel"/>
    <w:tmpl w:val="426E00E2"/>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65B499C"/>
    <w:multiLevelType w:val="multilevel"/>
    <w:tmpl w:val="71D47110"/>
    <w:lvl w:ilvl="0">
      <w:start w:val="1"/>
      <w:numFmt w:val="upperLetter"/>
      <w:pStyle w:val="Annex"/>
      <w:lvlText w:val="ANNEX %1"/>
      <w:lvlJc w:val="left"/>
      <w:pPr>
        <w:tabs>
          <w:tab w:val="num" w:pos="0"/>
        </w:tabs>
        <w:ind w:left="360" w:hanging="36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060CD"/>
    <w:multiLevelType w:val="multilevel"/>
    <w:tmpl w:val="A7B8D080"/>
    <w:lvl w:ilvl="0">
      <w:start w:val="1"/>
      <w:numFmt w:val="decimal"/>
      <w:pStyle w:val="AnnexTablecaption"/>
      <w:lvlText w:val="Tabl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9CC553E"/>
    <w:multiLevelType w:val="multilevel"/>
    <w:tmpl w:val="C346C770"/>
    <w:lvl w:ilvl="0">
      <w:start w:val="1"/>
      <w:numFmt w:val="decimal"/>
      <w:pStyle w:val="References"/>
      <w:lvlText w:val="[%1]"/>
      <w:lvlJc w:val="left"/>
      <w:pPr>
        <w:tabs>
          <w:tab w:val="num" w:pos="567"/>
        </w:tabs>
        <w:ind w:left="567" w:hanging="567"/>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0587AEB"/>
    <w:multiLevelType w:val="multilevel"/>
    <w:tmpl w:val="AC92F44E"/>
    <w:lvl w:ilvl="0">
      <w:start w:val="1"/>
      <w:numFmt w:val="decimal"/>
      <w:pStyle w:val="Appendix"/>
      <w:lvlText w:val="APPENDIX %1"/>
      <w:lvlJc w:val="left"/>
      <w:pPr>
        <w:tabs>
          <w:tab w:val="num" w:pos="0"/>
        </w:tabs>
        <w:ind w:left="1701" w:hanging="1701"/>
      </w:pPr>
      <w:rPr>
        <w:rFonts w:ascii="Arial Bold" w:hAnsi="Arial Bold" w:cs="Times New Roman"/>
        <w:b/>
        <w:bCs/>
        <w:i w:val="0"/>
        <w:iCs w:val="0"/>
        <w:caps/>
        <w:strike w:val="0"/>
        <w:dstrike w:val="0"/>
        <w:vanish w:val="0"/>
        <w:color w:val="4F81BD" w:themeColor="accent1"/>
        <w:spacing w:val="0"/>
        <w:w w:val="10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DB4583"/>
    <w:multiLevelType w:val="multilevel"/>
    <w:tmpl w:val="EE4C8EAE"/>
    <w:lvl w:ilvl="0">
      <w:start w:val="1"/>
      <w:numFmt w:val="decimal"/>
      <w:pStyle w:val="AnnexHeading1"/>
      <w:lvlText w:val="%1"/>
      <w:lvlJc w:val="left"/>
      <w:pPr>
        <w:tabs>
          <w:tab w:val="num" w:pos="567"/>
        </w:tabs>
        <w:ind w:left="567" w:hanging="567"/>
      </w:pPr>
      <w:rPr>
        <w:rFonts w:ascii="Arial Bold" w:hAnsi="Arial Bold"/>
        <w:b/>
        <w:i w:val="0"/>
        <w:sz w:val="24"/>
      </w:rPr>
    </w:lvl>
    <w:lvl w:ilvl="1">
      <w:start w:val="1"/>
      <w:numFmt w:val="decimal"/>
      <w:pStyle w:val="AnnexHeading2"/>
      <w:lvlText w:val="%1.%2"/>
      <w:lvlJc w:val="left"/>
      <w:pPr>
        <w:tabs>
          <w:tab w:val="num" w:pos="851"/>
        </w:tabs>
        <w:ind w:left="851" w:hanging="851"/>
      </w:pPr>
      <w:rPr>
        <w:rFonts w:ascii="Arial Bold" w:hAnsi="Arial Bold"/>
        <w:b/>
        <w:i w:val="0"/>
        <w:sz w:val="22"/>
      </w:rPr>
    </w:lvl>
    <w:lvl w:ilvl="2">
      <w:start w:val="1"/>
      <w:numFmt w:val="decimal"/>
      <w:pStyle w:val="AnnexHeading3"/>
      <w:lvlText w:val="%2.%3.%1"/>
      <w:lvlJc w:val="left"/>
      <w:pPr>
        <w:tabs>
          <w:tab w:val="num" w:pos="992"/>
        </w:tabs>
        <w:ind w:left="992" w:hanging="992"/>
      </w:pPr>
      <w:rPr>
        <w:rFonts w:ascii="Arial" w:hAnsi="Arial"/>
        <w:b w:val="0"/>
        <w:i w:val="0"/>
        <w:sz w:val="22"/>
      </w:rPr>
    </w:lvl>
    <w:lvl w:ilvl="3">
      <w:start w:val="1"/>
      <w:numFmt w:val="decimal"/>
      <w:pStyle w:val="AnnexHeading4"/>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5C73760C"/>
    <w:multiLevelType w:val="multilevel"/>
    <w:tmpl w:val="D9CAB6F4"/>
    <w:lvl w:ilvl="0">
      <w:start w:val="1"/>
      <w:numFmt w:val="bullet"/>
      <w:pStyle w:val="Bullet3"/>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5D26EC7"/>
    <w:multiLevelType w:val="multilevel"/>
    <w:tmpl w:val="0CE60F0C"/>
    <w:lvl w:ilvl="0">
      <w:start w:val="1"/>
      <w:numFmt w:val="decimal"/>
      <w:pStyle w:val="Equation1"/>
      <w:lvlText w:val="(%1)"/>
      <w:lvlJc w:val="left"/>
      <w:pPr>
        <w:tabs>
          <w:tab w:val="num" w:pos="0"/>
        </w:tabs>
        <w:ind w:left="360" w:hanging="360"/>
      </w:pPr>
      <w:rPr>
        <w:b w:val="0"/>
        <w:i w:val="0"/>
        <w:sz w:val="22"/>
        <w:u w:val="none"/>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5DE4810"/>
    <w:multiLevelType w:val="multilevel"/>
    <w:tmpl w:val="A1F4AF40"/>
    <w:lvl w:ilvl="0">
      <w:start w:val="1"/>
      <w:numFmt w:val="bullet"/>
      <w:pStyle w:val="Tableinsetlist"/>
      <w:lvlText w:val=""/>
      <w:lvlJc w:val="left"/>
      <w:pPr>
        <w:tabs>
          <w:tab w:val="num" w:pos="0"/>
        </w:tabs>
        <w:ind w:left="397" w:hanging="28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C5C492B"/>
    <w:multiLevelType w:val="multilevel"/>
    <w:tmpl w:val="90023FB4"/>
    <w:lvl w:ilvl="0">
      <w:start w:val="1"/>
      <w:numFmt w:val="decimal"/>
      <w:pStyle w:val="List1"/>
      <w:lvlText w:val="%1"/>
      <w:lvlJc w:val="left"/>
      <w:pPr>
        <w:tabs>
          <w:tab w:val="num" w:pos="567"/>
        </w:tabs>
        <w:ind w:left="567" w:hanging="567"/>
      </w:pPr>
      <w:rPr>
        <w:rFonts w:ascii="Arial" w:hAnsi="Arial"/>
        <w:b w:val="0"/>
        <w:i w:val="0"/>
        <w:sz w:val="22"/>
        <w:szCs w:val="22"/>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10A49B7"/>
    <w:multiLevelType w:val="multilevel"/>
    <w:tmpl w:val="50C2A472"/>
    <w:lvl w:ilvl="0">
      <w:start w:val="1"/>
      <w:numFmt w:val="decimal"/>
      <w:pStyle w:val="Furtherreading"/>
      <w:lvlText w:val="[%1]"/>
      <w:lvlJc w:val="left"/>
      <w:pPr>
        <w:tabs>
          <w:tab w:val="num" w:pos="0"/>
        </w:tabs>
        <w:ind w:left="567" w:hanging="56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7AA440C1"/>
    <w:multiLevelType w:val="multilevel"/>
    <w:tmpl w:val="D61444AE"/>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4251373">
    <w:abstractNumId w:val="1"/>
  </w:num>
  <w:num w:numId="2" w16cid:durableId="2001881701">
    <w:abstractNumId w:val="10"/>
  </w:num>
  <w:num w:numId="3" w16cid:durableId="1124156532">
    <w:abstractNumId w:val="6"/>
  </w:num>
  <w:num w:numId="4" w16cid:durableId="1689718241">
    <w:abstractNumId w:val="14"/>
  </w:num>
  <w:num w:numId="5" w16cid:durableId="519439615">
    <w:abstractNumId w:val="5"/>
  </w:num>
  <w:num w:numId="6" w16cid:durableId="217480709">
    <w:abstractNumId w:val="0"/>
  </w:num>
  <w:num w:numId="7" w16cid:durableId="1353141535">
    <w:abstractNumId w:val="3"/>
  </w:num>
  <w:num w:numId="8" w16cid:durableId="1921329648">
    <w:abstractNumId w:val="4"/>
  </w:num>
  <w:num w:numId="9" w16cid:durableId="341081313">
    <w:abstractNumId w:val="9"/>
  </w:num>
  <w:num w:numId="10" w16cid:durableId="472678005">
    <w:abstractNumId w:val="12"/>
  </w:num>
  <w:num w:numId="11" w16cid:durableId="863207378">
    <w:abstractNumId w:val="20"/>
  </w:num>
  <w:num w:numId="12" w16cid:durableId="27727489">
    <w:abstractNumId w:val="18"/>
  </w:num>
  <w:num w:numId="13" w16cid:durableId="1610819323">
    <w:abstractNumId w:val="2"/>
  </w:num>
  <w:num w:numId="14" w16cid:durableId="875696873">
    <w:abstractNumId w:val="15"/>
  </w:num>
  <w:num w:numId="15" w16cid:durableId="820660587">
    <w:abstractNumId w:val="13"/>
  </w:num>
  <w:num w:numId="16" w16cid:durableId="1598638689">
    <w:abstractNumId w:val="17"/>
  </w:num>
  <w:num w:numId="17" w16cid:durableId="2079403746">
    <w:abstractNumId w:val="16"/>
  </w:num>
  <w:num w:numId="18" w16cid:durableId="1770856712">
    <w:abstractNumId w:val="19"/>
  </w:num>
  <w:num w:numId="19" w16cid:durableId="1691179868">
    <w:abstractNumId w:val="8"/>
  </w:num>
  <w:num w:numId="20" w16cid:durableId="825702400">
    <w:abstractNumId w:val="11"/>
  </w:num>
  <w:num w:numId="21" w16cid:durableId="1613576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3BC"/>
    <w:rsid w:val="00023F49"/>
    <w:rsid w:val="00090413"/>
    <w:rsid w:val="001166EA"/>
    <w:rsid w:val="002139D5"/>
    <w:rsid w:val="00220850"/>
    <w:rsid w:val="00237154"/>
    <w:rsid w:val="002E569F"/>
    <w:rsid w:val="003403BC"/>
    <w:rsid w:val="003D37AA"/>
    <w:rsid w:val="004B17E6"/>
    <w:rsid w:val="006D5F2C"/>
    <w:rsid w:val="00765BEA"/>
    <w:rsid w:val="007E59B0"/>
    <w:rsid w:val="0080280A"/>
    <w:rsid w:val="008A0653"/>
    <w:rsid w:val="008D693F"/>
    <w:rsid w:val="00900D1A"/>
    <w:rsid w:val="00935498"/>
    <w:rsid w:val="009567AD"/>
    <w:rsid w:val="009E163F"/>
    <w:rsid w:val="00A46994"/>
    <w:rsid w:val="00A5314B"/>
    <w:rsid w:val="00AF0148"/>
    <w:rsid w:val="00BD5F36"/>
    <w:rsid w:val="00C02017"/>
    <w:rsid w:val="00CA03D3"/>
    <w:rsid w:val="00CA5BE1"/>
    <w:rsid w:val="00D005BB"/>
    <w:rsid w:val="00D8292C"/>
    <w:rsid w:val="00ED3DF4"/>
    <w:rsid w:val="00F6276D"/>
    <w:rsid w:val="00F76B42"/>
    <w:rsid w:val="00FB5C9D"/>
    <w:rsid w:val="00FC3FA8"/>
    <w:rsid w:val="00FF6C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A7E9"/>
  <w15:docId w15:val="{B15A8541-DBF0-664F-8EEA-CF21FDCC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
      </w:numPr>
      <w:spacing w:before="240" w:after="240"/>
      <w:outlineLvl w:val="0"/>
    </w:pPr>
    <w:rPr>
      <w:rFonts w:ascii="Calibri" w:hAnsi="Calibri"/>
      <w:b/>
      <w:caps/>
      <w:color w:val="0070C0"/>
      <w:kern w:val="2"/>
      <w:sz w:val="24"/>
      <w:lang w:eastAsia="de-DE"/>
    </w:rPr>
  </w:style>
  <w:style w:type="paragraph" w:styleId="Heading2">
    <w:name w:val="heading 2"/>
    <w:basedOn w:val="Normal"/>
    <w:next w:val="BodyText"/>
    <w:link w:val="Heading2Char"/>
    <w:qFormat/>
    <w:rsid w:val="00605E43"/>
    <w:pPr>
      <w:numPr>
        <w:ilvl w:val="1"/>
        <w:numId w:val="1"/>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
      </w:numPr>
      <w:spacing w:before="120" w:after="120"/>
      <w:outlineLvl w:val="2"/>
    </w:pPr>
    <w:rPr>
      <w:szCs w:val="20"/>
      <w:lang w:eastAsia="de-DE"/>
    </w:rPr>
  </w:style>
  <w:style w:type="paragraph" w:styleId="Heading4">
    <w:name w:val="heading 4"/>
    <w:basedOn w:val="Normal"/>
    <w:next w:val="BodyTextIndent"/>
    <w:link w:val="Heading4Char"/>
    <w:qFormat/>
    <w:rsid w:val="00D332B3"/>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rsid w:val="00D332B3"/>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rsid w:val="00D332B3"/>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rsid w:val="00D332B3"/>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rsid w:val="00D332B3"/>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rsid w:val="00D332B3"/>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5E43"/>
    <w:rPr>
      <w:rFonts w:cs="Calibri"/>
      <w:b/>
      <w:caps/>
      <w:color w:val="0070C0"/>
      <w:kern w:val="2"/>
      <w:sz w:val="24"/>
      <w:szCs w:val="22"/>
      <w:lang w:eastAsia="de-DE"/>
    </w:rPr>
  </w:style>
  <w:style w:type="character" w:customStyle="1" w:styleId="Heading2Char">
    <w:name w:val="Heading 2 Char"/>
    <w:link w:val="Heading2"/>
    <w:qFormat/>
    <w:rsid w:val="00605E43"/>
    <w:rPr>
      <w:rFonts w:cs="Calibri"/>
      <w:b/>
      <w:color w:val="0070C0"/>
      <w:sz w:val="24"/>
      <w:szCs w:val="24"/>
    </w:rPr>
  </w:style>
  <w:style w:type="character" w:customStyle="1" w:styleId="BodyTextChar">
    <w:name w:val="Body Text Char"/>
    <w:link w:val="BodyText"/>
    <w:qFormat/>
    <w:rsid w:val="00E00BE9"/>
    <w:rPr>
      <w:rFonts w:ascii="Arial" w:hAnsi="Arial" w:cs="Times New Roman"/>
      <w:szCs w:val="24"/>
    </w:rPr>
  </w:style>
  <w:style w:type="character" w:customStyle="1" w:styleId="FooterChar">
    <w:name w:val="Footer Char"/>
    <w:link w:val="Footer"/>
    <w:qFormat/>
    <w:rsid w:val="00084F33"/>
    <w:rPr>
      <w:rFonts w:ascii="Arial" w:hAnsi="Arial" w:cs="Times New Roman"/>
      <w:szCs w:val="24"/>
    </w:rPr>
  </w:style>
  <w:style w:type="character" w:customStyle="1" w:styleId="HeaderChar">
    <w:name w:val="Header Char"/>
    <w:link w:val="Header"/>
    <w:qFormat/>
    <w:rsid w:val="005C566C"/>
    <w:rPr>
      <w:rFonts w:ascii="Arial" w:eastAsia="Calibri" w:hAnsi="Arial" w:cs="Times New Roman"/>
      <w:szCs w:val="24"/>
      <w:lang w:eastAsia="en-GB"/>
    </w:rPr>
  </w:style>
  <w:style w:type="character" w:customStyle="1" w:styleId="Heading3Char">
    <w:name w:val="Heading 3 Char"/>
    <w:link w:val="Heading3"/>
    <w:qFormat/>
    <w:rsid w:val="00E00BE9"/>
    <w:rPr>
      <w:rFonts w:ascii="Arial" w:hAnsi="Arial" w:cs="Calibri"/>
      <w:sz w:val="22"/>
      <w:lang w:eastAsia="de-DE"/>
    </w:rPr>
  </w:style>
  <w:style w:type="character" w:customStyle="1" w:styleId="Heading4Char">
    <w:name w:val="Heading 4 Char"/>
    <w:link w:val="Heading4"/>
    <w:qFormat/>
    <w:rsid w:val="00E00BE9"/>
    <w:rPr>
      <w:rFonts w:ascii="Arial" w:hAnsi="Arial" w:cs="Calibri"/>
      <w:sz w:val="22"/>
      <w:lang w:val="en-US" w:eastAsia="de-DE"/>
    </w:rPr>
  </w:style>
  <w:style w:type="character" w:customStyle="1" w:styleId="Heading5Char">
    <w:name w:val="Heading 5 Char"/>
    <w:link w:val="Heading5"/>
    <w:qFormat/>
    <w:rsid w:val="00D332B3"/>
    <w:rPr>
      <w:rFonts w:ascii="Arial" w:eastAsia="Times New Roman" w:hAnsi="Arial"/>
      <w:sz w:val="22"/>
      <w:lang w:val="de-DE" w:eastAsia="de-DE"/>
    </w:rPr>
  </w:style>
  <w:style w:type="character" w:customStyle="1" w:styleId="Heading6Char">
    <w:name w:val="Heading 6 Char"/>
    <w:link w:val="Heading6"/>
    <w:qFormat/>
    <w:rsid w:val="00E00BE9"/>
    <w:rPr>
      <w:rFonts w:ascii="Arial" w:hAnsi="Arial" w:cs="Calibri"/>
      <w:sz w:val="22"/>
      <w:lang w:val="de-DE" w:eastAsia="de-DE"/>
    </w:rPr>
  </w:style>
  <w:style w:type="character" w:customStyle="1" w:styleId="Heading7Char">
    <w:name w:val="Heading 7 Char"/>
    <w:link w:val="Heading7"/>
    <w:qFormat/>
    <w:rsid w:val="00E00BE9"/>
    <w:rPr>
      <w:rFonts w:ascii="Arial" w:hAnsi="Arial" w:cs="Calibri"/>
      <w:sz w:val="22"/>
      <w:lang w:val="de-DE" w:eastAsia="de-DE"/>
    </w:rPr>
  </w:style>
  <w:style w:type="character" w:customStyle="1" w:styleId="Heading8Char">
    <w:name w:val="Heading 8 Char"/>
    <w:link w:val="Heading8"/>
    <w:qFormat/>
    <w:rsid w:val="00E00BE9"/>
    <w:rPr>
      <w:rFonts w:ascii="Arial" w:hAnsi="Arial" w:cs="Calibri"/>
      <w:sz w:val="22"/>
      <w:lang w:val="de-DE" w:eastAsia="de-DE"/>
    </w:rPr>
  </w:style>
  <w:style w:type="character" w:customStyle="1" w:styleId="Heading9Char">
    <w:name w:val="Heading 9 Char"/>
    <w:link w:val="Heading9"/>
    <w:qFormat/>
    <w:rsid w:val="00E00BE9"/>
    <w:rPr>
      <w:rFonts w:ascii="Arial" w:hAnsi="Arial" w:cs="Calibri"/>
      <w:sz w:val="22"/>
      <w:lang w:val="de-DE" w:eastAsia="de-DE"/>
    </w:rPr>
  </w:style>
  <w:style w:type="character" w:styleId="Hyperlink">
    <w:name w:val="Hyperlink"/>
    <w:uiPriority w:val="99"/>
    <w:rsid w:val="00FC0EB3"/>
    <w:rPr>
      <w:strike w:val="0"/>
      <w:dstrike w:val="0"/>
      <w:position w:val="0"/>
      <w:sz w:val="20"/>
      <w:vertAlign w:val="baseline"/>
    </w:rPr>
  </w:style>
  <w:style w:type="character" w:styleId="PageNumber">
    <w:name w:val="page number"/>
    <w:basedOn w:val="DefaultParagraphFont"/>
    <w:rsid w:val="008D1694"/>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customStyle="1" w:styleId="FootnoteCharactersuser">
    <w:name w:val="Footnote Characters (user)"/>
    <w:semiHidden/>
    <w:qFormat/>
    <w:rsid w:val="008D1694"/>
    <w:rPr>
      <w:rFonts w:ascii="Arial" w:hAnsi="Arial"/>
      <w:sz w:val="16"/>
    </w:rPr>
  </w:style>
  <w:style w:type="character" w:customStyle="1" w:styleId="FootnoteCharacters">
    <w:name w:val="Footnote Characters"/>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customStyle="1" w:styleId="FootnoteTextChar">
    <w:name w:val="Footnote Text Char"/>
    <w:link w:val="FootnoteText"/>
    <w:semiHidden/>
    <w:qFormat/>
    <w:rsid w:val="00243228"/>
    <w:rPr>
      <w:rFonts w:ascii="Arial" w:hAnsi="Arial" w:cs="Times New Roman"/>
      <w:sz w:val="20"/>
      <w:szCs w:val="20"/>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link w:val="Title"/>
    <w:qFormat/>
    <w:rsid w:val="00943E9C"/>
    <w:rPr>
      <w:rFonts w:ascii="Arial" w:hAnsi="Arial" w:cs="Arial"/>
      <w:b/>
      <w:bCs/>
      <w:kern w:val="2"/>
      <w:sz w:val="32"/>
      <w:szCs w:val="32"/>
    </w:rPr>
  </w:style>
  <w:style w:type="character" w:customStyle="1" w:styleId="BalloonTextChar">
    <w:name w:val="Balloon Text Char"/>
    <w:basedOn w:val="DefaultParagraphFont"/>
    <w:link w:val="BalloonText"/>
    <w:uiPriority w:val="99"/>
    <w:semiHidden/>
    <w:qFormat/>
    <w:rsid w:val="008A356F"/>
    <w:rPr>
      <w:rFonts w:ascii="Tahoma" w:hAnsi="Tahoma" w:cs="Tahoma"/>
      <w:sz w:val="16"/>
      <w:szCs w:val="16"/>
    </w:rPr>
  </w:style>
  <w:style w:type="character" w:styleId="CommentReference">
    <w:name w:val="annotation reference"/>
    <w:basedOn w:val="DefaultParagraphFont"/>
    <w:uiPriority w:val="99"/>
    <w:semiHidden/>
    <w:unhideWhenUsed/>
    <w:qFormat/>
    <w:rsid w:val="00EA5A97"/>
    <w:rPr>
      <w:sz w:val="16"/>
      <w:szCs w:val="16"/>
    </w:rPr>
  </w:style>
  <w:style w:type="character" w:customStyle="1" w:styleId="CommentTextChar">
    <w:name w:val="Comment Text Char"/>
    <w:basedOn w:val="DefaultParagraphFont"/>
    <w:link w:val="CommentText"/>
    <w:uiPriority w:val="99"/>
    <w:qFormat/>
    <w:rsid w:val="00EA5A97"/>
    <w:rPr>
      <w:rFonts w:ascii="Arial" w:hAnsi="Arial" w:cs="Calibri"/>
    </w:rPr>
  </w:style>
  <w:style w:type="character" w:customStyle="1" w:styleId="CommentSubjectChar">
    <w:name w:val="Comment Subject Char"/>
    <w:basedOn w:val="CommentTextChar"/>
    <w:link w:val="CommentSubject"/>
    <w:uiPriority w:val="99"/>
    <w:semiHidden/>
    <w:qFormat/>
    <w:rsid w:val="00EA5A97"/>
    <w:rPr>
      <w:rFonts w:ascii="Arial" w:hAnsi="Arial" w:cs="Calibri"/>
      <w:b/>
      <w:bCs/>
    </w:rPr>
  </w:style>
  <w:style w:type="character" w:customStyle="1" w:styleId="AnnexChar">
    <w:name w:val="Annex Char"/>
    <w:basedOn w:val="DefaultParagraphFont"/>
    <w:link w:val="Annex"/>
    <w:qFormat/>
    <w:rsid w:val="00A278ED"/>
    <w:rPr>
      <w:rFonts w:cs="Calibri"/>
      <w:b/>
      <w:caps/>
      <w:color w:val="0070C0"/>
      <w:sz w:val="24"/>
      <w:szCs w:val="22"/>
    </w:rPr>
  </w:style>
  <w:style w:type="character" w:customStyle="1" w:styleId="MRNChar">
    <w:name w:val="MRN Char"/>
    <w:basedOn w:val="DefaultParagraphFont"/>
    <w:link w:val="MRN"/>
    <w:qFormat/>
    <w:rsid w:val="00A278ED"/>
    <w:rPr>
      <w:rFonts w:asciiTheme="minorHAnsi" w:eastAsiaTheme="minorHAnsi" w:hAnsiTheme="minorHAnsi" w:cstheme="minorBidi"/>
      <w:b/>
      <w:color w:val="00558C"/>
      <w:sz w:val="28"/>
      <w:szCs w:val="22"/>
      <w:lang w:eastAsia="en-US"/>
    </w:rPr>
  </w:style>
  <w:style w:type="character" w:customStyle="1" w:styleId="EquationChar">
    <w:name w:val="Equation Char"/>
    <w:basedOn w:val="BodyTextChar"/>
    <w:link w:val="Equation1"/>
    <w:qFormat/>
    <w:rsid w:val="00A278ED"/>
    <w:rPr>
      <w:rFonts w:asciiTheme="minorHAnsi" w:eastAsiaTheme="minorHAnsi" w:hAnsiTheme="minorHAnsi" w:cstheme="minorBidi"/>
      <w:sz w:val="22"/>
      <w:szCs w:val="22"/>
      <w:lang w:eastAsia="en-US"/>
    </w:rPr>
  </w:style>
  <w:style w:type="character" w:customStyle="1" w:styleId="FurtherreadingChar">
    <w:name w:val="Further reading Char"/>
    <w:basedOn w:val="BodyTextChar"/>
    <w:link w:val="Furtherreading"/>
    <w:qFormat/>
    <w:rsid w:val="00A278ED"/>
    <w:rPr>
      <w:rFonts w:asciiTheme="minorHAnsi" w:eastAsiaTheme="minorHAnsi" w:hAnsiTheme="minorHAnsi" w:cstheme="minorBidi"/>
      <w:sz w:val="22"/>
      <w:szCs w:val="22"/>
      <w:lang w:eastAsia="en-US"/>
    </w:rPr>
  </w:style>
  <w:style w:type="character" w:customStyle="1" w:styleId="AnnexFigureCaptionChar">
    <w:name w:val="Annex Figure Caption Char"/>
    <w:basedOn w:val="BodyTextChar"/>
    <w:link w:val="AnnexFigureCaption"/>
    <w:qFormat/>
    <w:rsid w:val="00A278ED"/>
    <w:rPr>
      <w:rFonts w:asciiTheme="minorHAnsi" w:eastAsiaTheme="minorHAnsi" w:hAnsiTheme="minorHAnsi" w:cstheme="minorBidi"/>
      <w:i/>
      <w:color w:val="00558C"/>
      <w:sz w:val="22"/>
      <w:szCs w:val="22"/>
    </w:rPr>
  </w:style>
  <w:style w:type="character" w:customStyle="1" w:styleId="NichtaufgelsteErwhnung1">
    <w:name w:val="Nicht aufgelöste Erwähnung1"/>
    <w:basedOn w:val="DefaultParagraphFont"/>
    <w:uiPriority w:val="99"/>
    <w:semiHidden/>
    <w:unhideWhenUsed/>
    <w:qFormat/>
    <w:rsid w:val="004132D2"/>
    <w:rPr>
      <w:color w:val="605E5C"/>
      <w:shd w:val="clear" w:color="auto" w:fill="E1DFDD"/>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qFormat/>
    <w:rsid w:val="008D1694"/>
    <w:pPr>
      <w:spacing w:after="120"/>
      <w:jc w:val="both"/>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Annex">
    <w:name w:val="Annex"/>
    <w:basedOn w:val="Heading1"/>
    <w:next w:val="Normal"/>
    <w:link w:val="AnnexChar"/>
    <w:qFormat/>
    <w:rsid w:val="007A395D"/>
    <w:pPr>
      <w:numPr>
        <w:numId w:val="2"/>
      </w:numPr>
      <w:tabs>
        <w:tab w:val="left" w:pos="1701"/>
      </w:tabs>
      <w:jc w:val="both"/>
    </w:pPr>
    <w:rPr>
      <w:kern w:val="0"/>
      <w:lang w:eastAsia="en-GB"/>
    </w:rPr>
  </w:style>
  <w:style w:type="paragraph" w:customStyle="1" w:styleId="AnnexFigure">
    <w:name w:val="Annex Figure"/>
    <w:basedOn w:val="Normal"/>
    <w:next w:val="Normal"/>
    <w:qFormat/>
    <w:rsid w:val="008D1694"/>
    <w:pPr>
      <w:numPr>
        <w:numId w:val="3"/>
      </w:numPr>
      <w:spacing w:before="120" w:after="120"/>
      <w:jc w:val="center"/>
    </w:pPr>
    <w:rPr>
      <w:i/>
    </w:rPr>
  </w:style>
  <w:style w:type="paragraph" w:customStyle="1" w:styleId="AnnexHeading1">
    <w:name w:val="Annex Heading 1"/>
    <w:basedOn w:val="Normal"/>
    <w:next w:val="BodyText"/>
    <w:qFormat/>
    <w:rsid w:val="008D1694"/>
    <w:pPr>
      <w:numPr>
        <w:numId w:val="4"/>
      </w:numPr>
      <w:spacing w:before="120" w:after="120"/>
    </w:pPr>
    <w:rPr>
      <w:rFonts w:cs="Arial"/>
      <w:b/>
      <w:caps/>
      <w:sz w:val="24"/>
    </w:rPr>
  </w:style>
  <w:style w:type="paragraph" w:customStyle="1" w:styleId="AnnexHeading2">
    <w:name w:val="Annex Heading 2"/>
    <w:basedOn w:val="Normal"/>
    <w:next w:val="BodyText"/>
    <w:qFormat/>
    <w:rsid w:val="008D1694"/>
    <w:pPr>
      <w:numPr>
        <w:ilvl w:val="1"/>
        <w:numId w:val="4"/>
      </w:numPr>
      <w:spacing w:before="120" w:after="120"/>
    </w:pPr>
    <w:rPr>
      <w:rFonts w:cs="Arial"/>
      <w:b/>
    </w:rPr>
  </w:style>
  <w:style w:type="paragraph" w:customStyle="1" w:styleId="AnnexHeading3">
    <w:name w:val="Annex Heading 3"/>
    <w:basedOn w:val="Normal"/>
    <w:next w:val="Normal"/>
    <w:qFormat/>
    <w:rsid w:val="008D1694"/>
    <w:pPr>
      <w:numPr>
        <w:ilvl w:val="2"/>
        <w:numId w:val="4"/>
      </w:numPr>
      <w:spacing w:before="120" w:after="120"/>
    </w:pPr>
    <w:rPr>
      <w:rFonts w:cs="Arial"/>
    </w:rPr>
  </w:style>
  <w:style w:type="paragraph" w:customStyle="1" w:styleId="AnnexHeading4">
    <w:name w:val="Annex Heading 4"/>
    <w:basedOn w:val="Normal"/>
    <w:next w:val="BodyText"/>
    <w:qFormat/>
    <w:rsid w:val="008D1694"/>
    <w:pPr>
      <w:numPr>
        <w:ilvl w:val="3"/>
        <w:numId w:val="4"/>
      </w:numPr>
      <w:spacing w:before="120" w:after="120"/>
    </w:pPr>
    <w:rPr>
      <w:rFonts w:cs="Arial"/>
    </w:rPr>
  </w:style>
  <w:style w:type="paragraph" w:customStyle="1" w:styleId="AnnexTable">
    <w:name w:val="Annex Table"/>
    <w:basedOn w:val="Normal"/>
    <w:next w:val="Normal"/>
    <w:qFormat/>
    <w:rsid w:val="008D1694"/>
    <w:pPr>
      <w:numPr>
        <w:numId w:val="5"/>
      </w:numPr>
      <w:tabs>
        <w:tab w:val="left" w:pos="1418"/>
      </w:tabs>
      <w:spacing w:before="120" w:after="120"/>
      <w:jc w:val="center"/>
    </w:pPr>
    <w:rPr>
      <w:i/>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rsid w:val="008D1694"/>
    <w:pPr>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qFormat/>
    <w:rsid w:val="008D1694"/>
    <w:pPr>
      <w:spacing w:after="120"/>
      <w:ind w:left="1701"/>
      <w:jc w:val="both"/>
    </w:pPr>
    <w:rPr>
      <w:rFonts w:cs="Arial"/>
    </w:rPr>
  </w:style>
  <w:style w:type="paragraph" w:customStyle="1" w:styleId="Bullet3">
    <w:name w:val="Bullet 3"/>
    <w:basedOn w:val="Normal"/>
    <w:qFormat/>
    <w:rsid w:val="00CF1871"/>
    <w:pPr>
      <w:numPr>
        <w:numId w:val="14"/>
      </w:numPr>
      <w:tabs>
        <w:tab w:val="left" w:pos="2268"/>
      </w:tabs>
      <w:spacing w:after="60"/>
      <w:ind w:left="2268" w:hanging="567"/>
      <w:jc w:val="both"/>
    </w:pPr>
    <w:rPr>
      <w:rFonts w:cs="Arial"/>
      <w:sz w:val="20"/>
    </w:rPr>
  </w:style>
  <w:style w:type="paragraph" w:customStyle="1" w:styleId="Bullet3text">
    <w:name w:val="Bullet 3 text"/>
    <w:basedOn w:val="Normal"/>
    <w:qFormat/>
    <w:rsid w:val="008D1694"/>
    <w:pPr>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customStyle="1" w:styleId="HeaderandFooter">
    <w:name w:val="Header and Footer"/>
    <w:basedOn w:val="Normal"/>
    <w:qFormat/>
  </w:style>
  <w:style w:type="paragraph" w:styleId="Footer">
    <w:name w:val="footer"/>
    <w:basedOn w:val="Normal"/>
    <w:link w:val="FooterChar"/>
    <w:rsid w:val="008D1694"/>
    <w:pPr>
      <w:tabs>
        <w:tab w:val="center" w:pos="4820"/>
        <w:tab w:val="right" w:pos="9639"/>
      </w:tabs>
    </w:pPr>
  </w:style>
  <w:style w:type="paragraph" w:styleId="Header">
    <w:name w:val="header"/>
    <w:basedOn w:val="Normal"/>
    <w:link w:val="HeaderChar"/>
    <w:rsid w:val="008D1694"/>
    <w:pPr>
      <w:tabs>
        <w:tab w:val="center" w:pos="4820"/>
        <w:tab w:val="right" w:pos="9639"/>
      </w:tabs>
    </w:p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12"/>
      </w:numPr>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paragraph" w:styleId="BodyTextIndent">
    <w:name w:val="Body Text Indent"/>
    <w:basedOn w:val="Normal"/>
    <w:link w:val="BodyTextIndentChar"/>
    <w:rsid w:val="008D1694"/>
    <w:pPr>
      <w:spacing w:after="120"/>
      <w:ind w:left="567"/>
    </w:p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semiHidden/>
    <w:rsid w:val="00243228"/>
    <w:rPr>
      <w:sz w:val="20"/>
      <w:szCs w:val="20"/>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943E9C"/>
    <w:pPr>
      <w:spacing w:before="120" w:after="240"/>
      <w:jc w:val="center"/>
      <w:outlineLvl w:val="0"/>
    </w:pPr>
    <w:rPr>
      <w:rFonts w:cs="Arial"/>
      <w:b/>
      <w:bCs/>
      <w:kern w:val="2"/>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qFormat/>
    <w:rsid w:val="008D1694"/>
    <w:pPr>
      <w:numPr>
        <w:numId w:val="6"/>
      </w:numPr>
      <w:spacing w:before="120" w:after="120"/>
    </w:pPr>
    <w:rPr>
      <w:rFonts w:cs="Arial"/>
      <w:b/>
      <w:caps/>
      <w:sz w:val="24"/>
    </w:rPr>
  </w:style>
  <w:style w:type="paragraph" w:customStyle="1" w:styleId="AppendixHeading2">
    <w:name w:val="Appendix Heading 2"/>
    <w:basedOn w:val="Normal"/>
    <w:next w:val="BodyText"/>
    <w:qFormat/>
    <w:rsid w:val="008D1694"/>
    <w:pPr>
      <w:numPr>
        <w:ilvl w:val="1"/>
        <w:numId w:val="6"/>
      </w:numPr>
      <w:spacing w:before="120" w:after="120"/>
    </w:pPr>
    <w:rPr>
      <w:rFonts w:cs="Arial"/>
      <w:b/>
    </w:rPr>
  </w:style>
  <w:style w:type="paragraph" w:customStyle="1" w:styleId="AppendixHeading3">
    <w:name w:val="Appendix Heading 3"/>
    <w:basedOn w:val="Normal"/>
    <w:next w:val="Normal"/>
    <w:qFormat/>
    <w:rsid w:val="008D1694"/>
    <w:pPr>
      <w:numPr>
        <w:ilvl w:val="2"/>
        <w:numId w:val="6"/>
      </w:numPr>
      <w:spacing w:before="120" w:after="120"/>
    </w:pPr>
    <w:rPr>
      <w:rFonts w:cs="Arial"/>
    </w:rPr>
  </w:style>
  <w:style w:type="paragraph" w:customStyle="1" w:styleId="AppendixHeading4">
    <w:name w:val="Appendix Heading 4"/>
    <w:basedOn w:val="Normal"/>
    <w:next w:val="BodyText"/>
    <w:qFormat/>
    <w:rsid w:val="008D1694"/>
    <w:pPr>
      <w:numPr>
        <w:ilvl w:val="3"/>
        <w:numId w:val="6"/>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rsid w:val="002E6FCA"/>
    <w:pPr>
      <w:numPr>
        <w:numId w:val="15"/>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qFormat/>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iPriority w:val="99"/>
    <w:unhideWhenUsed/>
    <w:rsid w:val="00EA5A97"/>
    <w:rPr>
      <w:sz w:val="20"/>
      <w:szCs w:val="20"/>
    </w:rPr>
  </w:style>
  <w:style w:type="paragraph" w:styleId="CommentSubject">
    <w:name w:val="annotation subject"/>
    <w:basedOn w:val="CommentText"/>
    <w:next w:val="CommentText"/>
    <w:link w:val="CommentSubjectChar"/>
    <w:uiPriority w:val="99"/>
    <w:semiHidden/>
    <w:unhideWhenUsed/>
    <w:qFormat/>
    <w:rsid w:val="00EA5A97"/>
    <w:rPr>
      <w:b/>
      <w:bCs/>
    </w:rPr>
  </w:style>
  <w:style w:type="paragraph" w:customStyle="1" w:styleId="Documenttype">
    <w:name w:val="Document type"/>
    <w:basedOn w:val="Normal"/>
    <w:qFormat/>
    <w:rsid w:val="00A278ED"/>
    <w:pPr>
      <w:spacing w:line="500" w:lineRule="exact"/>
      <w:ind w:left="907" w:right="907"/>
    </w:pPr>
    <w:rPr>
      <w:rFonts w:asciiTheme="minorHAnsi" w:eastAsiaTheme="minorHAnsi" w:hAnsiTheme="minorHAnsi" w:cstheme="minorBidi"/>
      <w:b/>
      <w:caps/>
      <w:color w:val="FFFFFF" w:themeColor="background1"/>
      <w:sz w:val="50"/>
      <w:szCs w:val="50"/>
      <w:lang w:eastAsia="en-US"/>
    </w:rPr>
  </w:style>
  <w:style w:type="paragraph" w:customStyle="1" w:styleId="Heading1separationline">
    <w:name w:val="Heading 1 separation line"/>
    <w:basedOn w:val="Normal"/>
    <w:next w:val="BodyText"/>
    <w:qFormat/>
    <w:rsid w:val="00A278ED"/>
    <w:pPr>
      <w:pBdr>
        <w:bottom w:val="single" w:sz="8" w:space="1" w:color="4F81BD" w:themeColor="accent1"/>
      </w:pBdr>
      <w:spacing w:after="120" w:line="90" w:lineRule="exact"/>
      <w:ind w:right="8789"/>
    </w:pPr>
    <w:rPr>
      <w:rFonts w:asciiTheme="minorHAnsi" w:eastAsiaTheme="minorHAnsi" w:hAnsiTheme="minorHAnsi" w:cstheme="minorBidi"/>
      <w:color w:val="000000" w:themeColor="text1"/>
      <w:lang w:eastAsia="en-US"/>
    </w:rPr>
  </w:style>
  <w:style w:type="paragraph" w:customStyle="1" w:styleId="Heading2separationline">
    <w:name w:val="Heading 2 separation line"/>
    <w:basedOn w:val="Normal"/>
    <w:next w:val="BodyText"/>
    <w:qFormat/>
    <w:rsid w:val="00A278ED"/>
    <w:pPr>
      <w:pBdr>
        <w:bottom w:val="single" w:sz="4" w:space="1" w:color="575756"/>
      </w:pBdr>
      <w:spacing w:after="60" w:line="110" w:lineRule="exact"/>
      <w:ind w:right="8787"/>
    </w:pPr>
    <w:rPr>
      <w:rFonts w:asciiTheme="minorHAnsi" w:eastAsiaTheme="minorHAnsi" w:hAnsiTheme="minorHAnsi" w:cstheme="minorBidi"/>
      <w:color w:val="000000" w:themeColor="text1"/>
      <w:lang w:eastAsia="en-US"/>
    </w:rPr>
  </w:style>
  <w:style w:type="paragraph" w:customStyle="1" w:styleId="Editionnumber">
    <w:name w:val="Edition number"/>
    <w:basedOn w:val="Normal"/>
    <w:qFormat/>
    <w:rsid w:val="00A278ED"/>
    <w:pPr>
      <w:spacing w:line="216" w:lineRule="atLeast"/>
    </w:pPr>
    <w:rPr>
      <w:rFonts w:asciiTheme="minorHAnsi" w:eastAsiaTheme="minorHAnsi" w:hAnsiTheme="minorHAnsi" w:cstheme="minorBidi"/>
      <w:b/>
      <w:color w:val="4F81BD" w:themeColor="accent1"/>
      <w:sz w:val="50"/>
      <w:szCs w:val="50"/>
      <w:lang w:eastAsia="en-US"/>
    </w:rPr>
  </w:style>
  <w:style w:type="paragraph" w:customStyle="1" w:styleId="Contents">
    <w:name w:val="Contents"/>
    <w:basedOn w:val="Header"/>
    <w:qFormat/>
    <w:rsid w:val="00A278ED"/>
    <w:pPr>
      <w:pBdr>
        <w:bottom w:val="single" w:sz="8" w:space="12" w:color="4F81BD" w:themeColor="accent1"/>
      </w:pBdr>
      <w:tabs>
        <w:tab w:val="clear" w:pos="4820"/>
        <w:tab w:val="clear" w:pos="9639"/>
      </w:tabs>
      <w:spacing w:before="100" w:line="560" w:lineRule="exact"/>
    </w:pPr>
    <w:rPr>
      <w:rFonts w:asciiTheme="minorHAnsi" w:eastAsiaTheme="minorHAnsi" w:hAnsiTheme="minorHAnsi" w:cstheme="minorBidi"/>
      <w:b/>
      <w:caps/>
      <w:color w:val="C0504D" w:themeColor="accent2"/>
      <w:sz w:val="56"/>
      <w:szCs w:val="56"/>
      <w:lang w:eastAsia="en-US"/>
    </w:rPr>
  </w:style>
  <w:style w:type="paragraph" w:customStyle="1" w:styleId="Tabletext">
    <w:name w:val="Table text"/>
    <w:basedOn w:val="Normal"/>
    <w:qFormat/>
    <w:rsid w:val="00A278ED"/>
    <w:pPr>
      <w:spacing w:before="60" w:after="60" w:line="216" w:lineRule="atLeast"/>
      <w:ind w:left="113" w:right="113"/>
    </w:pPr>
    <w:rPr>
      <w:rFonts w:asciiTheme="minorHAnsi" w:eastAsiaTheme="minorHAnsi" w:hAnsiTheme="minorHAnsi" w:cstheme="minorBidi"/>
      <w:color w:val="000000" w:themeColor="text1"/>
      <w:sz w:val="20"/>
      <w:lang w:eastAsia="en-US"/>
    </w:rPr>
  </w:style>
  <w:style w:type="paragraph" w:customStyle="1" w:styleId="AppendixHead2">
    <w:name w:val="Appendix Head 2"/>
    <w:basedOn w:val="Appendix"/>
    <w:next w:val="Heading2separationline"/>
    <w:qFormat/>
    <w:rsid w:val="00A278ED"/>
    <w:pPr>
      <w:numPr>
        <w:numId w:val="0"/>
      </w:numPr>
      <w:spacing w:after="120"/>
      <w:ind w:left="1247" w:hanging="1247"/>
    </w:pPr>
    <w:rPr>
      <w:rFonts w:asciiTheme="majorHAnsi" w:hAnsiTheme="majorHAnsi" w:cs="Arial"/>
      <w:bCs/>
      <w:caps/>
      <w:color w:val="00558C"/>
      <w:lang w:eastAsia="en-GB"/>
    </w:rPr>
  </w:style>
  <w:style w:type="paragraph" w:customStyle="1" w:styleId="AppendixHead3">
    <w:name w:val="Appendix Head 3"/>
    <w:basedOn w:val="Normal"/>
    <w:next w:val="BodyText"/>
    <w:qFormat/>
    <w:rsid w:val="00A278ED"/>
    <w:pPr>
      <w:spacing w:before="120" w:after="120"/>
      <w:ind w:left="1588" w:hanging="1588"/>
    </w:pPr>
    <w:rPr>
      <w:rFonts w:asciiTheme="minorHAnsi" w:hAnsiTheme="minorHAnsi" w:cs="Arial"/>
      <w:b/>
      <w:smallCaps/>
      <w:color w:val="00558C"/>
      <w:sz w:val="24"/>
    </w:rPr>
  </w:style>
  <w:style w:type="paragraph" w:customStyle="1" w:styleId="AppendixHead4">
    <w:name w:val="Appendix Head 4"/>
    <w:basedOn w:val="AppendixHead3"/>
    <w:next w:val="BodyText"/>
    <w:qFormat/>
    <w:rsid w:val="00A278ED"/>
    <w:pPr>
      <w:ind w:left="1758" w:hanging="1758"/>
    </w:pPr>
    <w:rPr>
      <w:smallCaps w:val="0"/>
      <w:sz w:val="22"/>
    </w:rPr>
  </w:style>
  <w:style w:type="paragraph" w:customStyle="1" w:styleId="AnnexHead2">
    <w:name w:val="Annex Head 2"/>
    <w:basedOn w:val="Annex"/>
    <w:next w:val="Heading1separationline"/>
    <w:qFormat/>
    <w:rsid w:val="00A278ED"/>
    <w:pPr>
      <w:keepNext w:val="0"/>
      <w:numPr>
        <w:numId w:val="0"/>
      </w:numPr>
      <w:tabs>
        <w:tab w:val="clear" w:pos="1701"/>
      </w:tabs>
      <w:spacing w:before="120" w:after="120"/>
      <w:ind w:left="851" w:hanging="851"/>
      <w:jc w:val="left"/>
      <w:outlineLvl w:val="9"/>
    </w:pPr>
    <w:rPr>
      <w:rFonts w:asciiTheme="minorHAnsi" w:hAnsiTheme="minorHAnsi"/>
      <w:bCs/>
      <w:color w:val="00558C"/>
    </w:rPr>
  </w:style>
  <w:style w:type="paragraph" w:customStyle="1" w:styleId="AnnexHead3">
    <w:name w:val="Annex Head 3"/>
    <w:basedOn w:val="AnnexHead2"/>
    <w:next w:val="Heading2separationline"/>
    <w:qFormat/>
    <w:rsid w:val="00A278ED"/>
    <w:pPr>
      <w:ind w:left="1021" w:hanging="1021"/>
    </w:pPr>
    <w:rPr>
      <w:smallCaps/>
    </w:rPr>
  </w:style>
  <w:style w:type="paragraph" w:customStyle="1" w:styleId="AnnexHead4">
    <w:name w:val="Annex Head 4"/>
    <w:basedOn w:val="AnnexHead3"/>
    <w:next w:val="BodyText"/>
    <w:qFormat/>
    <w:rsid w:val="00A278ED"/>
    <w:pPr>
      <w:ind w:left="1134" w:hanging="1134"/>
    </w:pPr>
    <w:rPr>
      <w:caps w:val="0"/>
      <w:smallCaps w:val="0"/>
      <w:sz w:val="22"/>
    </w:rPr>
  </w:style>
  <w:style w:type="paragraph" w:customStyle="1" w:styleId="AnnexHead5">
    <w:name w:val="Annex Head 5"/>
    <w:basedOn w:val="Normal"/>
    <w:next w:val="BodyText"/>
    <w:qFormat/>
    <w:rsid w:val="00A278ED"/>
    <w:pPr>
      <w:spacing w:before="120" w:after="120"/>
      <w:ind w:left="1701" w:hanging="1701"/>
    </w:pPr>
    <w:rPr>
      <w:rFonts w:asciiTheme="minorHAnsi" w:hAnsiTheme="minorHAnsi"/>
      <w:color w:val="00558C"/>
    </w:rPr>
  </w:style>
  <w:style w:type="paragraph" w:customStyle="1" w:styleId="ListofFigures">
    <w:name w:val="List of Figures"/>
    <w:basedOn w:val="Normal"/>
    <w:next w:val="Normal"/>
    <w:qFormat/>
    <w:rsid w:val="00A278ED"/>
    <w:pPr>
      <w:spacing w:after="240" w:line="480" w:lineRule="atLeast"/>
    </w:pPr>
    <w:rPr>
      <w:rFonts w:asciiTheme="minorHAnsi" w:eastAsiaTheme="minorHAnsi" w:hAnsiTheme="minorHAnsi" w:cstheme="minorBidi"/>
      <w:b/>
      <w:color w:val="C0504D" w:themeColor="accent2"/>
      <w:sz w:val="40"/>
      <w:szCs w:val="40"/>
      <w:lang w:eastAsia="en-US"/>
    </w:rPr>
  </w:style>
  <w:style w:type="paragraph" w:customStyle="1" w:styleId="Tableinsetlist">
    <w:name w:val="Table inset list"/>
    <w:basedOn w:val="Normal"/>
    <w:qFormat/>
    <w:rsid w:val="00A278ED"/>
    <w:pPr>
      <w:numPr>
        <w:numId w:val="16"/>
      </w:numPr>
      <w:spacing w:before="120" w:after="120" w:line="216" w:lineRule="atLeast"/>
      <w:contextualSpacing/>
      <w:jc w:val="both"/>
    </w:pPr>
    <w:rPr>
      <w:rFonts w:asciiTheme="minorHAnsi" w:eastAsiaTheme="minorHAnsi" w:hAnsiTheme="minorHAnsi" w:cstheme="minorBidi"/>
      <w:sz w:val="20"/>
      <w:lang w:eastAsia="en-US"/>
    </w:rPr>
  </w:style>
  <w:style w:type="paragraph" w:customStyle="1" w:styleId="AnnexTablecaption">
    <w:name w:val="Annex Table caption"/>
    <w:basedOn w:val="BodyText"/>
    <w:qFormat/>
    <w:rsid w:val="00A278ED"/>
    <w:pPr>
      <w:numPr>
        <w:numId w:val="20"/>
      </w:numPr>
      <w:spacing w:line="216" w:lineRule="atLeast"/>
      <w:jc w:val="center"/>
    </w:pPr>
    <w:rPr>
      <w:rFonts w:asciiTheme="minorHAnsi" w:eastAsiaTheme="minorHAnsi" w:hAnsiTheme="minorHAnsi" w:cstheme="minorBidi"/>
      <w:i/>
      <w:color w:val="00558C"/>
    </w:rPr>
  </w:style>
  <w:style w:type="paragraph" w:customStyle="1" w:styleId="Abbreviations">
    <w:name w:val="Abbreviations"/>
    <w:basedOn w:val="Normal"/>
    <w:qFormat/>
    <w:rsid w:val="00A278ED"/>
    <w:pPr>
      <w:spacing w:after="60" w:line="216" w:lineRule="atLeast"/>
      <w:ind w:left="1418" w:hanging="1418"/>
    </w:pPr>
    <w:rPr>
      <w:rFonts w:asciiTheme="minorHAnsi" w:eastAsiaTheme="minorHAnsi" w:hAnsiTheme="minorHAnsi" w:cstheme="minorBidi"/>
      <w:lang w:eastAsia="en-US"/>
    </w:rPr>
  </w:style>
  <w:style w:type="paragraph" w:customStyle="1" w:styleId="Documentnumber">
    <w:name w:val="Document number"/>
    <w:basedOn w:val="Normal"/>
    <w:next w:val="Normal"/>
    <w:qFormat/>
    <w:rsid w:val="00A278ED"/>
    <w:pPr>
      <w:spacing w:line="216" w:lineRule="atLeast"/>
    </w:pPr>
    <w:rPr>
      <w:rFonts w:asciiTheme="minorHAnsi" w:eastAsiaTheme="minorHAnsi" w:hAnsiTheme="minorHAnsi" w:cstheme="minorBidi"/>
      <w:caps/>
      <w:color w:val="00558C"/>
      <w:sz w:val="50"/>
      <w:lang w:eastAsia="en-US"/>
    </w:rPr>
  </w:style>
  <w:style w:type="paragraph" w:customStyle="1" w:styleId="Documentdate">
    <w:name w:val="Document date"/>
    <w:basedOn w:val="Normal"/>
    <w:qFormat/>
    <w:rsid w:val="00A278ED"/>
    <w:pPr>
      <w:spacing w:line="216" w:lineRule="atLeast"/>
    </w:pPr>
    <w:rPr>
      <w:rFonts w:asciiTheme="minorHAnsi" w:eastAsiaTheme="minorHAnsi" w:hAnsiTheme="minorHAnsi" w:cstheme="minorBidi"/>
      <w:b/>
      <w:color w:val="00558C"/>
      <w:sz w:val="28"/>
      <w:lang w:eastAsia="en-US"/>
    </w:rPr>
  </w:style>
  <w:style w:type="paragraph" w:customStyle="1" w:styleId="Footerportrait">
    <w:name w:val="Footer portrait"/>
    <w:basedOn w:val="Normal"/>
    <w:qFormat/>
    <w:rsid w:val="00A278ED"/>
    <w:pPr>
      <w:pBdr>
        <w:top w:val="single" w:sz="4" w:space="1" w:color="000000"/>
      </w:pBdr>
      <w:tabs>
        <w:tab w:val="right" w:pos="10206"/>
      </w:tabs>
      <w:spacing w:line="216" w:lineRule="atLeast"/>
    </w:pPr>
    <w:rPr>
      <w:rFonts w:asciiTheme="minorHAnsi" w:eastAsiaTheme="minorHAnsi" w:hAnsiTheme="minorHAnsi" w:cstheme="minorBidi"/>
      <w:b/>
      <w:color w:val="00558C"/>
      <w:sz w:val="15"/>
      <w:lang w:val="en-US" w:eastAsia="en-US"/>
    </w:rPr>
  </w:style>
  <w:style w:type="paragraph" w:customStyle="1" w:styleId="Documentname">
    <w:name w:val="Document name"/>
    <w:basedOn w:val="Documenttype"/>
    <w:qFormat/>
    <w:rsid w:val="00A278ED"/>
    <w:pPr>
      <w:ind w:left="0" w:right="0"/>
    </w:pPr>
    <w:rPr>
      <w:b w:val="0"/>
      <w:color w:val="00558C"/>
    </w:rPr>
  </w:style>
  <w:style w:type="paragraph" w:customStyle="1" w:styleId="MRN">
    <w:name w:val="MRN"/>
    <w:basedOn w:val="Normal"/>
    <w:link w:val="MRNChar"/>
    <w:qFormat/>
    <w:rsid w:val="00A278ED"/>
    <w:pPr>
      <w:spacing w:line="216" w:lineRule="atLeast"/>
    </w:pPr>
    <w:rPr>
      <w:rFonts w:asciiTheme="minorHAnsi" w:eastAsiaTheme="minorHAnsi" w:hAnsiTheme="minorHAnsi" w:cstheme="minorBidi"/>
      <w:b/>
      <w:color w:val="00558C"/>
      <w:sz w:val="28"/>
      <w:lang w:eastAsia="en-US"/>
    </w:rPr>
  </w:style>
  <w:style w:type="paragraph" w:customStyle="1" w:styleId="Reference">
    <w:name w:val="Reference"/>
    <w:basedOn w:val="Normal"/>
    <w:qFormat/>
    <w:rsid w:val="00A278ED"/>
    <w:pPr>
      <w:tabs>
        <w:tab w:val="left" w:pos="0"/>
      </w:tabs>
      <w:spacing w:before="120" w:after="60"/>
      <w:ind w:left="567" w:hanging="567"/>
      <w:jc w:val="both"/>
    </w:pPr>
    <w:rPr>
      <w:rFonts w:asciiTheme="minorHAnsi" w:eastAsia="Times New Roman" w:hAnsiTheme="minorHAnsi" w:cs="Times New Roman"/>
      <w:szCs w:val="20"/>
      <w:lang w:eastAsia="en-US"/>
    </w:rPr>
  </w:style>
  <w:style w:type="paragraph" w:customStyle="1" w:styleId="Equation1">
    <w:name w:val="Equation1"/>
    <w:basedOn w:val="BodyText"/>
    <w:next w:val="BodyText"/>
    <w:link w:val="EquationChar"/>
    <w:qFormat/>
    <w:rsid w:val="00A278ED"/>
    <w:pPr>
      <w:numPr>
        <w:numId w:val="17"/>
      </w:numPr>
      <w:spacing w:before="60" w:line="216" w:lineRule="atLeast"/>
      <w:jc w:val="right"/>
    </w:pPr>
    <w:rPr>
      <w:rFonts w:asciiTheme="minorHAnsi" w:eastAsiaTheme="minorHAnsi" w:hAnsiTheme="minorHAnsi" w:cstheme="minorBidi"/>
      <w:lang w:eastAsia="en-US"/>
    </w:rPr>
  </w:style>
  <w:style w:type="paragraph" w:customStyle="1" w:styleId="Furtherreading">
    <w:name w:val="Further reading"/>
    <w:basedOn w:val="BodyText"/>
    <w:link w:val="FurtherreadingChar"/>
    <w:qFormat/>
    <w:rsid w:val="00A278ED"/>
    <w:pPr>
      <w:numPr>
        <w:numId w:val="18"/>
      </w:numPr>
      <w:spacing w:before="60" w:line="216" w:lineRule="atLeast"/>
    </w:pPr>
    <w:rPr>
      <w:rFonts w:asciiTheme="minorHAnsi" w:eastAsiaTheme="minorHAnsi" w:hAnsiTheme="minorHAnsi" w:cstheme="minorBidi"/>
      <w:lang w:eastAsia="en-US"/>
    </w:rPr>
  </w:style>
  <w:style w:type="paragraph" w:customStyle="1" w:styleId="Documentrevisiontabletitle">
    <w:name w:val="Document revision table title"/>
    <w:basedOn w:val="Normal"/>
    <w:qFormat/>
    <w:rsid w:val="00A278ED"/>
    <w:pPr>
      <w:spacing w:before="60" w:after="60" w:line="216" w:lineRule="atLeast"/>
      <w:ind w:left="113" w:right="113"/>
    </w:pPr>
    <w:rPr>
      <w:rFonts w:asciiTheme="minorHAnsi" w:eastAsiaTheme="minorHAnsi" w:hAnsiTheme="minorHAnsi" w:cstheme="minorBidi"/>
      <w:b/>
      <w:color w:val="00558C"/>
      <w:sz w:val="20"/>
      <w:lang w:eastAsia="en-US"/>
    </w:rPr>
  </w:style>
  <w:style w:type="paragraph" w:customStyle="1" w:styleId="AnnexFigureCaption">
    <w:name w:val="Annex Figure Caption"/>
    <w:basedOn w:val="BodyText"/>
    <w:link w:val="AnnexFigureCaptionChar"/>
    <w:qFormat/>
    <w:rsid w:val="00A278ED"/>
    <w:pPr>
      <w:numPr>
        <w:numId w:val="19"/>
      </w:numPr>
      <w:spacing w:line="216" w:lineRule="atLeast"/>
      <w:jc w:val="center"/>
    </w:pPr>
    <w:rPr>
      <w:rFonts w:asciiTheme="minorHAnsi" w:eastAsiaTheme="minorHAnsi" w:hAnsiTheme="minorHAnsi" w:cstheme="minorBidi"/>
      <w:i/>
      <w:color w:val="00558C"/>
    </w:rPr>
  </w:style>
  <w:style w:type="paragraph" w:customStyle="1" w:styleId="AppendixHead1">
    <w:name w:val="Appendix Head 1"/>
    <w:basedOn w:val="Normal"/>
    <w:next w:val="Heading1separationline"/>
    <w:qFormat/>
    <w:rsid w:val="00A278ED"/>
    <w:pPr>
      <w:spacing w:before="120" w:after="120"/>
      <w:ind w:left="907" w:hanging="907"/>
    </w:pPr>
    <w:rPr>
      <w:rFonts w:asciiTheme="minorHAnsi" w:hAnsiTheme="minorHAnsi" w:cs="Arial"/>
      <w:b/>
      <w:caps/>
      <w:color w:val="00558C"/>
      <w:sz w:val="28"/>
    </w:rPr>
  </w:style>
  <w:style w:type="paragraph" w:styleId="NormalWeb">
    <w:name w:val="Normal (Web)"/>
    <w:basedOn w:val="Normal"/>
    <w:uiPriority w:val="99"/>
    <w:semiHidden/>
    <w:unhideWhenUsed/>
    <w:qFormat/>
    <w:rsid w:val="00047B5D"/>
    <w:pPr>
      <w:spacing w:beforeAutospacing="1" w:afterAutospacing="1"/>
    </w:pPr>
    <w:rPr>
      <w:rFonts w:ascii="Times New Roman" w:eastAsia="Times New Roman" w:hAnsi="Times New Roman" w:cs="Times New Roman"/>
      <w:sz w:val="24"/>
      <w:szCs w:val="24"/>
      <w:lang w:val="en-SG" w:eastAsia="en-SG"/>
    </w:rPr>
  </w:style>
  <w:style w:type="paragraph" w:styleId="Revision">
    <w:name w:val="Revision"/>
    <w:uiPriority w:val="99"/>
    <w:semiHidden/>
    <w:qFormat/>
    <w:rsid w:val="008D2793"/>
    <w:rPr>
      <w:rFonts w:ascii="Arial" w:hAnsi="Arial" w:cs="Calibri"/>
      <w:sz w:val="22"/>
      <w:szCs w:val="22"/>
    </w:rPr>
  </w:style>
  <w:style w:type="numbering" w:styleId="ArticleSection">
    <w:name w:val="Outline List 3"/>
    <w:qFormat/>
    <w:rsid w:val="008D1694"/>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8D693F"/>
    <w:rPr>
      <w:sz w:val="20"/>
      <w:szCs w:val="20"/>
    </w:rPr>
  </w:style>
  <w:style w:type="character" w:customStyle="1" w:styleId="EndnoteTextChar">
    <w:name w:val="Endnote Text Char"/>
    <w:basedOn w:val="DefaultParagraphFont"/>
    <w:link w:val="EndnoteText"/>
    <w:uiPriority w:val="99"/>
    <w:semiHidden/>
    <w:rsid w:val="008D693F"/>
    <w:rPr>
      <w:rFonts w:ascii="Arial" w:hAnsi="Arial" w:cs="Calibri"/>
    </w:rPr>
  </w:style>
  <w:style w:type="character" w:styleId="UnresolvedMention">
    <w:name w:val="Unresolved Mention"/>
    <w:basedOn w:val="DefaultParagraphFont"/>
    <w:uiPriority w:val="99"/>
    <w:semiHidden/>
    <w:unhideWhenUsed/>
    <w:rsid w:val="008D6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mdpi.com/1424-8220/26/4/124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6022411-6e02-423b-85fd-39e0748b9219">
      <UserInfo>
        <DisplayName/>
        <AccountId xsi:nil="true"/>
        <AccountType/>
      </UserInfo>
    </SharedWithUsers>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611459A-7DF7-44B3-AB25-3D7EC613A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3.xml><?xml version="1.0" encoding="utf-8"?>
<ds:datastoreItem xmlns:ds="http://schemas.openxmlformats.org/officeDocument/2006/customXml" ds:itemID="{78E4D382-6326-4946-B466-03E9136F295E}">
  <ds:schemaRefs>
    <ds:schemaRef ds:uri="http://schemas.openxmlformats.org/officeDocument/2006/bibliography"/>
  </ds:schemaRefs>
</ds:datastoreItem>
</file>

<file path=customXml/itemProps4.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06022411-6e02-423b-85fd-39e0748b9219"/>
    <ds:schemaRef ds:uri="ac5f8115-f13f-4d01-aff4-515a67108c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4419</Characters>
  <Application>Microsoft Office Word</Application>
  <DocSecurity>0</DocSecurity>
  <Lines>78</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Tom Southall</cp:lastModifiedBy>
  <cp:revision>20</cp:revision>
  <dcterms:created xsi:type="dcterms:W3CDTF">2025-10-02T10:25:00Z</dcterms:created>
  <dcterms:modified xsi:type="dcterms:W3CDTF">2026-08-16T14:31:00Z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0x010100FB4C6AB7F4ADAA4ABC48D93214FE8FD2</vt:lpwstr>
  </property>
  <property fmtid="{D5CDD505-2E9C-101B-9397-08002B2CF9AE}" pid="4" name="GrammarlyDocumentId">
    <vt:lpwstr>dd3f61d2-a383-481a-a8a7-f58285de5efc</vt:lpwstr>
  </property>
  <property fmtid="{D5CDD505-2E9C-101B-9397-08002B2CF9AE}" pid="5" name="MSIP_Label_54803508-8490-4252-b331-d9b72689e942_ActionId">
    <vt:lpwstr>d182ec70-399f-4258-9e26-e0c2b788ce46</vt:lpwstr>
  </property>
  <property fmtid="{D5CDD505-2E9C-101B-9397-08002B2CF9AE}" pid="6" name="MSIP_Label_54803508-8490-4252-b331-d9b72689e942_ContentBits">
    <vt:lpwstr>0</vt:lpwstr>
  </property>
  <property fmtid="{D5CDD505-2E9C-101B-9397-08002B2CF9AE}" pid="7" name="MSIP_Label_54803508-8490-4252-b331-d9b72689e942_Enabled">
    <vt:lpwstr>true</vt:lpwstr>
  </property>
  <property fmtid="{D5CDD505-2E9C-101B-9397-08002B2CF9AE}" pid="8" name="MSIP_Label_54803508-8490-4252-b331-d9b72689e942_Method">
    <vt:lpwstr>Privileged</vt:lpwstr>
  </property>
  <property fmtid="{D5CDD505-2E9C-101B-9397-08002B2CF9AE}" pid="9" name="MSIP_Label_54803508-8490-4252-b331-d9b72689e942_Name">
    <vt:lpwstr>Non Sensitive_0</vt:lpwstr>
  </property>
  <property fmtid="{D5CDD505-2E9C-101B-9397-08002B2CF9AE}" pid="10" name="MSIP_Label_54803508-8490-4252-b331-d9b72689e942_SetDate">
    <vt:lpwstr>2025-03-05T07:01:47Z</vt:lpwstr>
  </property>
  <property fmtid="{D5CDD505-2E9C-101B-9397-08002B2CF9AE}" pid="11" name="MSIP_Label_54803508-8490-4252-b331-d9b72689e942_SiteId">
    <vt:lpwstr>0b11c524-9a1c-4e1b-84cb-6336aefc2243</vt:lpwstr>
  </property>
  <property fmtid="{D5CDD505-2E9C-101B-9397-08002B2CF9AE}" pid="12" name="MediaServiceImageTags">
    <vt:lpwstr/>
  </property>
  <property fmtid="{D5CDD505-2E9C-101B-9397-08002B2CF9AE}" pid="13" name="Order">
    <vt:r8>14559800</vt:r8>
  </property>
  <property fmtid="{D5CDD505-2E9C-101B-9397-08002B2CF9AE}" pid="14" name="TemplateUrl">
    <vt:lpwstr/>
  </property>
  <property fmtid="{D5CDD505-2E9C-101B-9397-08002B2CF9AE}" pid="15" name="TriggerFlowInfo">
    <vt:lpwstr/>
  </property>
  <property fmtid="{D5CDD505-2E9C-101B-9397-08002B2CF9AE}" pid="16" name="_ExtendedDescription">
    <vt:lpwstr/>
  </property>
  <property fmtid="{D5CDD505-2E9C-101B-9397-08002B2CF9AE}" pid="17" name="docLang">
    <vt:lpwstr>en</vt:lpwstr>
  </property>
  <property fmtid="{D5CDD505-2E9C-101B-9397-08002B2CF9AE}" pid="18" name="xd_ProgID">
    <vt:lpwstr/>
  </property>
  <property fmtid="{D5CDD505-2E9C-101B-9397-08002B2CF9AE}" pid="19" name="xd_Signature">
    <vt:bool>false</vt:bool>
  </property>
</Properties>
</file>